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51C" w:rsidRDefault="001A551C" w:rsidP="001A551C">
      <w:pPr>
        <w:rPr>
          <w:rFonts w:ascii="Book Antiqua" w:hAnsi="Book Antiqua"/>
        </w:rPr>
      </w:pPr>
      <w:bookmarkStart w:id="0" w:name="_GoBack"/>
      <w:bookmarkEnd w:id="0"/>
      <w:r>
        <w:rPr>
          <w:rFonts w:ascii="Book Antiqua" w:hAnsi="Book Antiqua"/>
        </w:rPr>
        <w:t xml:space="preserve">          </w:t>
      </w:r>
      <w:r w:rsidR="00EF7596">
        <w:rPr>
          <w:noProof/>
          <w:lang w:eastAsia="hr-HR"/>
        </w:rPr>
        <w:drawing>
          <wp:inline distT="0" distB="0" distL="0" distR="0" wp14:anchorId="0E2C522D" wp14:editId="55593095">
            <wp:extent cx="5334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r>
        <w:rPr>
          <w:rFonts w:ascii="Book Antiqua" w:hAnsi="Book Antiqua"/>
        </w:rPr>
        <w:t xml:space="preserve"> </w:t>
      </w:r>
      <w:r w:rsidR="00E97DDA">
        <w:rPr>
          <w:rFonts w:ascii="Book Antiqua" w:hAnsi="Book Antiqua"/>
        </w:rPr>
        <w:t xml:space="preserve"> </w:t>
      </w:r>
      <w:r>
        <w:rPr>
          <w:rFonts w:ascii="Book Antiqua" w:hAnsi="Book Antiqua"/>
        </w:rPr>
        <w:t xml:space="preserve">    </w:t>
      </w:r>
    </w:p>
    <w:p w:rsidR="001A551C" w:rsidRPr="00A97ECB" w:rsidRDefault="00EF7596" w:rsidP="001A551C">
      <w:pPr>
        <w:rPr>
          <w:rFonts w:ascii="Calibri" w:hAnsi="Calibri"/>
        </w:rPr>
      </w:pPr>
      <w:r>
        <w:rPr>
          <w:rFonts w:ascii="Calibri" w:hAnsi="Calibri"/>
        </w:rPr>
        <w:t xml:space="preserve"> </w:t>
      </w:r>
      <w:r w:rsidR="001A551C" w:rsidRPr="00A97ECB">
        <w:rPr>
          <w:rFonts w:ascii="Calibri" w:hAnsi="Calibri"/>
        </w:rPr>
        <w:t>REPUBLIKA HRVATSKA</w:t>
      </w:r>
    </w:p>
    <w:p w:rsidR="001A551C" w:rsidRPr="00A97ECB" w:rsidRDefault="00EF7596" w:rsidP="001A551C">
      <w:pPr>
        <w:rPr>
          <w:rFonts w:ascii="Calibri" w:hAnsi="Calibri"/>
        </w:rPr>
      </w:pPr>
      <w:r>
        <w:rPr>
          <w:rFonts w:ascii="Calibri" w:hAnsi="Calibri"/>
        </w:rPr>
        <w:t xml:space="preserve">     </w:t>
      </w:r>
      <w:r w:rsidR="001A551C" w:rsidRPr="00A97ECB">
        <w:rPr>
          <w:rFonts w:ascii="Calibri" w:hAnsi="Calibri"/>
        </w:rPr>
        <w:t xml:space="preserve"> GRAD ZAGREB</w:t>
      </w:r>
    </w:p>
    <w:p w:rsidR="001A551C" w:rsidRPr="00A97ECB" w:rsidRDefault="001A551C" w:rsidP="001A551C">
      <w:pPr>
        <w:rPr>
          <w:rFonts w:ascii="Calibri" w:hAnsi="Calibri"/>
          <w:b/>
        </w:rPr>
      </w:pPr>
      <w:r w:rsidRPr="00A97ECB">
        <w:rPr>
          <w:rFonts w:ascii="Calibri" w:hAnsi="Calibri"/>
          <w:b/>
        </w:rPr>
        <w:t xml:space="preserve">  </w:t>
      </w:r>
    </w:p>
    <w:p w:rsidR="001A551C" w:rsidRDefault="001A551C" w:rsidP="001A551C">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Razina 22                 </w:t>
      </w:r>
    </w:p>
    <w:p w:rsidR="001A551C" w:rsidRPr="00A97ECB" w:rsidRDefault="001A551C" w:rsidP="001A551C">
      <w:pPr>
        <w:rPr>
          <w:rFonts w:ascii="Calibri" w:hAnsi="Calibri"/>
        </w:rPr>
      </w:pPr>
      <w:r w:rsidRPr="00A97ECB">
        <w:rPr>
          <w:rFonts w:ascii="Calibri" w:hAnsi="Calibri"/>
        </w:rPr>
        <w:t>Klasa: 401-01</w:t>
      </w:r>
      <w:r>
        <w:rPr>
          <w:rFonts w:ascii="Calibri" w:hAnsi="Calibri"/>
        </w:rPr>
        <w:t>/</w:t>
      </w:r>
      <w:r w:rsidR="008E3FF2">
        <w:rPr>
          <w:rFonts w:ascii="Calibri" w:hAnsi="Calibri"/>
        </w:rPr>
        <w:t>19</w:t>
      </w:r>
      <w:r w:rsidR="00934BA3">
        <w:rPr>
          <w:rFonts w:ascii="Calibri" w:hAnsi="Calibri"/>
        </w:rPr>
        <w:t>-001/</w:t>
      </w:r>
      <w:r w:rsidR="00F2123B">
        <w:rPr>
          <w:rFonts w:ascii="Calibri" w:hAnsi="Calibri"/>
        </w:rPr>
        <w:t>188</w:t>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r>
      <w:r>
        <w:rPr>
          <w:rFonts w:ascii="Calibri" w:hAnsi="Calibri"/>
        </w:rPr>
        <w:tab/>
        <w:t>Matični broj: 02576651</w:t>
      </w:r>
    </w:p>
    <w:p w:rsidR="001A551C" w:rsidRDefault="001A551C" w:rsidP="001A551C">
      <w:pPr>
        <w:rPr>
          <w:rFonts w:ascii="Calibri" w:hAnsi="Calibri"/>
        </w:rPr>
      </w:pPr>
      <w:r w:rsidRPr="00A97ECB">
        <w:rPr>
          <w:rFonts w:ascii="Calibri" w:hAnsi="Calibri"/>
        </w:rPr>
        <w:t>Urbroj:</w:t>
      </w:r>
      <w:r>
        <w:rPr>
          <w:rFonts w:ascii="Calibri" w:hAnsi="Calibri"/>
        </w:rPr>
        <w:t xml:space="preserve"> 251-08-</w:t>
      </w:r>
      <w:r>
        <w:rPr>
          <w:rFonts w:ascii="Calibri" w:hAnsi="Calibri"/>
        </w:rPr>
        <w:tab/>
      </w:r>
      <w:r w:rsidR="00934BA3">
        <w:rPr>
          <w:rFonts w:ascii="Calibri" w:hAnsi="Calibri"/>
        </w:rPr>
        <w:t>22-1</w:t>
      </w:r>
      <w:r w:rsidR="00782771">
        <w:rPr>
          <w:rFonts w:ascii="Calibri" w:hAnsi="Calibri"/>
        </w:rPr>
        <w:t>9</w:t>
      </w:r>
      <w:r w:rsidR="00934BA3">
        <w:rPr>
          <w:rFonts w:ascii="Calibri" w:hAnsi="Calibri"/>
        </w:rPr>
        <w:t>-</w:t>
      </w:r>
      <w:r w:rsidR="00F2123B">
        <w:rPr>
          <w:rFonts w:ascii="Calibri" w:hAnsi="Calibri"/>
        </w:rPr>
        <w:t>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934BA3">
        <w:rPr>
          <w:rFonts w:ascii="Calibri" w:hAnsi="Calibri"/>
        </w:rPr>
        <w:tab/>
      </w:r>
      <w:r w:rsidR="00934BA3">
        <w:rPr>
          <w:rFonts w:ascii="Calibri" w:hAnsi="Calibri"/>
        </w:rPr>
        <w:tab/>
      </w:r>
      <w:r>
        <w:rPr>
          <w:rFonts w:ascii="Calibri" w:hAnsi="Calibri"/>
        </w:rPr>
        <w:t>OIB: 61817894937</w:t>
      </w:r>
      <w:r>
        <w:rPr>
          <w:rFonts w:ascii="Calibri" w:hAnsi="Calibri"/>
        </w:rPr>
        <w:tab/>
      </w:r>
    </w:p>
    <w:p w:rsidR="001A551C" w:rsidRPr="00A97ECB" w:rsidRDefault="001A551C" w:rsidP="001A551C">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RKP: 31213</w:t>
      </w:r>
    </w:p>
    <w:p w:rsidR="001A551C" w:rsidRDefault="001A551C" w:rsidP="001A551C">
      <w:r w:rsidRPr="00A97ECB">
        <w:rPr>
          <w:rFonts w:ascii="Calibri" w:hAnsi="Calibri"/>
        </w:rPr>
        <w:t xml:space="preserve">Zagreb, </w:t>
      </w:r>
      <w:r>
        <w:rPr>
          <w:rFonts w:ascii="Calibri" w:hAnsi="Calibri"/>
        </w:rPr>
        <w:t>1</w:t>
      </w:r>
      <w:r w:rsidR="00076E84">
        <w:rPr>
          <w:rFonts w:ascii="Calibri" w:hAnsi="Calibri"/>
        </w:rPr>
        <w:t>4</w:t>
      </w:r>
      <w:r>
        <w:rPr>
          <w:rFonts w:ascii="Calibri" w:hAnsi="Calibri"/>
        </w:rPr>
        <w:t>.02.201</w:t>
      </w:r>
      <w:r w:rsidR="00F2123B">
        <w:rPr>
          <w:rFonts w:ascii="Calibri" w:hAnsi="Calibri"/>
        </w:rPr>
        <w:t>9</w:t>
      </w:r>
      <w:r>
        <w:rPr>
          <w:rFonts w:ascii="Calibri" w:hAnsi="Calibri"/>
        </w:rPr>
        <w: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Šifra djelatnosti: 8411</w:t>
      </w:r>
    </w:p>
    <w:p w:rsidR="001A551C" w:rsidRDefault="001A551C"/>
    <w:p w:rsidR="002B4A35" w:rsidRDefault="002B4A35" w:rsidP="00E97DDA">
      <w:pPr>
        <w:jc w:val="center"/>
        <w:rPr>
          <w:b/>
          <w:sz w:val="28"/>
          <w:szCs w:val="28"/>
        </w:rPr>
      </w:pPr>
    </w:p>
    <w:p w:rsidR="00E97DDA" w:rsidRDefault="00E97DDA" w:rsidP="00E97DDA">
      <w:pPr>
        <w:jc w:val="center"/>
        <w:rPr>
          <w:b/>
          <w:sz w:val="28"/>
          <w:szCs w:val="28"/>
        </w:rPr>
      </w:pPr>
      <w:r>
        <w:rPr>
          <w:b/>
          <w:sz w:val="28"/>
          <w:szCs w:val="28"/>
        </w:rPr>
        <w:t xml:space="preserve">Bilješke uz financijske izvještaje </w:t>
      </w:r>
    </w:p>
    <w:p w:rsidR="00E97DDA" w:rsidRPr="00E97DDA" w:rsidRDefault="00E97DDA" w:rsidP="00E97DDA">
      <w:pPr>
        <w:jc w:val="center"/>
        <w:rPr>
          <w:b/>
          <w:sz w:val="28"/>
          <w:szCs w:val="28"/>
        </w:rPr>
      </w:pPr>
      <w:r>
        <w:rPr>
          <w:b/>
          <w:sz w:val="28"/>
          <w:szCs w:val="28"/>
        </w:rPr>
        <w:t>za razdoblje od 01.01.201</w:t>
      </w:r>
      <w:r w:rsidR="006063E7">
        <w:rPr>
          <w:b/>
          <w:sz w:val="28"/>
          <w:szCs w:val="28"/>
        </w:rPr>
        <w:t>8</w:t>
      </w:r>
      <w:r>
        <w:rPr>
          <w:b/>
          <w:sz w:val="28"/>
          <w:szCs w:val="28"/>
        </w:rPr>
        <w:t>. – 31.12.201</w:t>
      </w:r>
      <w:r w:rsidR="00AB2F81">
        <w:rPr>
          <w:b/>
          <w:sz w:val="28"/>
          <w:szCs w:val="28"/>
        </w:rPr>
        <w:t>8</w:t>
      </w:r>
      <w:r>
        <w:rPr>
          <w:b/>
          <w:sz w:val="28"/>
          <w:szCs w:val="28"/>
        </w:rPr>
        <w:t>.</w:t>
      </w:r>
    </w:p>
    <w:p w:rsidR="00E97DDA" w:rsidRDefault="00E97DDA"/>
    <w:p w:rsidR="001A551C" w:rsidRPr="00E97DDA" w:rsidRDefault="000A454D" w:rsidP="001B5FD7">
      <w:pPr>
        <w:jc w:val="both"/>
        <w:rPr>
          <w:sz w:val="28"/>
          <w:szCs w:val="28"/>
        </w:rPr>
      </w:pPr>
      <w:r w:rsidRPr="00E97DDA">
        <w:rPr>
          <w:sz w:val="28"/>
          <w:szCs w:val="28"/>
        </w:rPr>
        <w:t>UVOD</w:t>
      </w:r>
    </w:p>
    <w:p w:rsidR="00076E84" w:rsidRDefault="00076E84" w:rsidP="00076E84">
      <w:pPr>
        <w:jc w:val="both"/>
      </w:pPr>
      <w:r>
        <w:t>Grad Zagreb ustrojen je na temelju Zakona o lokalnoj i područnoj (regionalnoj) samoupravi (Narodne novine 33/01, 60/01, 129/05, 109/07, 125/08, 36/09, 150/11, 144/12, 19/13, 137/15 i 123/17) i Zakona o područjima županija, gradova i općina u Republici Hrvatskoj (Narodne novine 86/06, 125/06, 16/07, 95/08, 46/10, 145/10, 37/13, 44/13, 45/13 i 110/15). Položaj ustrojstvo i djelokrug Grada Zagreba uređeni su Zakonom o Gradu Zagrebu (Narodne novine 62/01, 125/08, 36/09 i 119/14).</w:t>
      </w:r>
    </w:p>
    <w:p w:rsidR="00076E84" w:rsidRDefault="00076E84" w:rsidP="00076E84">
      <w:pPr>
        <w:jc w:val="both"/>
      </w:pPr>
      <w:r>
        <w:t>Za obavljanje poslova iz djelokruga Grada u 2018. godini ustrojena su 25 upravna tijela ( 22 Gradska ureda, 2 stručne službe i 1 zavod).</w:t>
      </w:r>
    </w:p>
    <w:p w:rsidR="00076E84" w:rsidRPr="00872559" w:rsidRDefault="00076E84" w:rsidP="00076E84">
      <w:pPr>
        <w:jc w:val="both"/>
        <w:rPr>
          <w:rFonts w:cstheme="minorHAnsi"/>
        </w:rPr>
      </w:pPr>
      <w:r>
        <w:t xml:space="preserve">Grad Zagreb vodi poslovne knjige i sastavlja financijske izvještaje prema proračunskom računovodstvu </w:t>
      </w:r>
      <w:r w:rsidRPr="00872559">
        <w:rPr>
          <w:rFonts w:cstheme="minorHAnsi"/>
        </w:rPr>
        <w:t>u skladu sa Zakonom o proračunu (</w:t>
      </w:r>
      <w:r>
        <w:t xml:space="preserve">Narodne novine </w:t>
      </w:r>
      <w:r w:rsidRPr="00872559">
        <w:rPr>
          <w:rFonts w:cstheme="minorHAnsi"/>
        </w:rPr>
        <w:t>87/08, 136/12 i 15/15)</w:t>
      </w:r>
      <w:r>
        <w:rPr>
          <w:rFonts w:cstheme="minorHAnsi"/>
        </w:rPr>
        <w:t>,</w:t>
      </w:r>
      <w:r w:rsidRPr="00872559">
        <w:rPr>
          <w:rFonts w:cstheme="minorHAnsi"/>
        </w:rPr>
        <w:t xml:space="preserve"> Pravilnikom o proračunskom računovodstvu i rač</w:t>
      </w:r>
      <w:r>
        <w:rPr>
          <w:rFonts w:cstheme="minorHAnsi"/>
        </w:rPr>
        <w:t>unskom planu (</w:t>
      </w:r>
      <w:r>
        <w:t>Narodne novine</w:t>
      </w:r>
      <w:r w:rsidRPr="00872559">
        <w:rPr>
          <w:rFonts w:cstheme="minorHAnsi"/>
        </w:rPr>
        <w:t xml:space="preserve"> 124/2014, 115/15</w:t>
      </w:r>
      <w:r>
        <w:rPr>
          <w:rFonts w:cstheme="minorHAnsi"/>
        </w:rPr>
        <w:t>,</w:t>
      </w:r>
      <w:r w:rsidRPr="00872559">
        <w:rPr>
          <w:rFonts w:cstheme="minorHAnsi"/>
        </w:rPr>
        <w:t xml:space="preserve"> 87/16</w:t>
      </w:r>
      <w:r>
        <w:rPr>
          <w:rFonts w:cstheme="minorHAnsi"/>
        </w:rPr>
        <w:t xml:space="preserve"> i 3/18</w:t>
      </w:r>
      <w:r w:rsidRPr="00872559">
        <w:rPr>
          <w:rFonts w:cstheme="minorHAnsi"/>
        </w:rPr>
        <w:t>)</w:t>
      </w:r>
      <w:r>
        <w:rPr>
          <w:rFonts w:cstheme="minorHAnsi"/>
        </w:rPr>
        <w:t>, Pravilnikom o financijskom izvještavanju u proračunskom računovodstvu (Narodne novine 3/15, 93/15, 135/15, 2/17, 28/17 i 112/18)</w:t>
      </w:r>
      <w:r w:rsidRPr="00872559">
        <w:rPr>
          <w:rFonts w:cstheme="minorHAnsi"/>
        </w:rPr>
        <w:t xml:space="preserve">. Grad u svojim knjigovodstvenim evidencijama osigurava </w:t>
      </w:r>
      <w:r>
        <w:rPr>
          <w:rFonts w:cstheme="minorHAnsi"/>
        </w:rPr>
        <w:t xml:space="preserve">podatke o vrstama </w:t>
      </w:r>
      <w:r w:rsidRPr="00872559">
        <w:rPr>
          <w:rFonts w:cstheme="minorHAnsi"/>
        </w:rPr>
        <w:t>prihoda i primitaka, rashoda i izdataka, stanju imovine, obveza i vlastitih izvora. Knjigovodstvo se vodi po na</w:t>
      </w:r>
      <w:r>
        <w:rPr>
          <w:rFonts w:cstheme="minorHAnsi"/>
        </w:rPr>
        <w:t>č</w:t>
      </w:r>
      <w:r w:rsidRPr="00872559">
        <w:rPr>
          <w:rFonts w:cstheme="minorHAnsi"/>
        </w:rPr>
        <w:t>elu dvojnog knjigovodstva,</w:t>
      </w:r>
      <w:r>
        <w:rPr>
          <w:rFonts w:cstheme="minorHAnsi"/>
        </w:rPr>
        <w:t xml:space="preserve"> prema propisanom računskom planu. P</w:t>
      </w:r>
      <w:r w:rsidRPr="00872559">
        <w:rPr>
          <w:rFonts w:cstheme="minorHAnsi"/>
        </w:rPr>
        <w:t>rihodi i primici te rashodi i izd</w:t>
      </w:r>
      <w:r>
        <w:rPr>
          <w:rFonts w:cstheme="minorHAnsi"/>
        </w:rPr>
        <w:t xml:space="preserve">aci iskazuju se prema </w:t>
      </w:r>
      <w:r w:rsidRPr="00872559">
        <w:rPr>
          <w:rFonts w:cstheme="minorHAnsi"/>
        </w:rPr>
        <w:t>modificiranom na</w:t>
      </w:r>
      <w:r>
        <w:rPr>
          <w:rFonts w:cstheme="minorHAnsi"/>
        </w:rPr>
        <w:t>č</w:t>
      </w:r>
      <w:r w:rsidRPr="00872559">
        <w:rPr>
          <w:rFonts w:cstheme="minorHAnsi"/>
        </w:rPr>
        <w:t>elu nastanka doga</w:t>
      </w:r>
      <w:r>
        <w:rPr>
          <w:rFonts w:cstheme="minorHAnsi"/>
        </w:rPr>
        <w:t>đ</w:t>
      </w:r>
      <w:r w:rsidRPr="00872559">
        <w:rPr>
          <w:rFonts w:cstheme="minorHAnsi"/>
        </w:rPr>
        <w:t>aja. Prihodi i primici priznaju se u</w:t>
      </w:r>
      <w:r>
        <w:rPr>
          <w:rFonts w:cstheme="minorHAnsi"/>
        </w:rPr>
        <w:t xml:space="preserve"> </w:t>
      </w:r>
      <w:r w:rsidRPr="00872559">
        <w:rPr>
          <w:rFonts w:cstheme="minorHAnsi"/>
        </w:rPr>
        <w:t>izvještajnom razdoblju u kojem su postali raspoloživi i pod uvjetom da su</w:t>
      </w:r>
      <w:r>
        <w:rPr>
          <w:rFonts w:cstheme="minorHAnsi"/>
        </w:rPr>
        <w:t xml:space="preserve"> mjerljivi. Rashodi se priznaju </w:t>
      </w:r>
      <w:r w:rsidRPr="00872559">
        <w:rPr>
          <w:rFonts w:cstheme="minorHAnsi"/>
        </w:rPr>
        <w:t>na temelju nastanka doga</w:t>
      </w:r>
      <w:r>
        <w:rPr>
          <w:rFonts w:cstheme="minorHAnsi"/>
        </w:rPr>
        <w:t>đ</w:t>
      </w:r>
      <w:r w:rsidRPr="00872559">
        <w:rPr>
          <w:rFonts w:cstheme="minorHAnsi"/>
        </w:rPr>
        <w:t>aja u izvještajnom razdobl</w:t>
      </w:r>
      <w:r>
        <w:rPr>
          <w:rFonts w:cstheme="minorHAnsi"/>
        </w:rPr>
        <w:t xml:space="preserve">ju na koje se odnose neovisno o </w:t>
      </w:r>
      <w:r w:rsidRPr="00872559">
        <w:rPr>
          <w:rFonts w:cstheme="minorHAnsi"/>
        </w:rPr>
        <w:t>pla</w:t>
      </w:r>
      <w:r>
        <w:rPr>
          <w:rFonts w:cstheme="minorHAnsi"/>
        </w:rPr>
        <w:t>ć</w:t>
      </w:r>
      <w:r w:rsidRPr="00872559">
        <w:rPr>
          <w:rFonts w:cstheme="minorHAnsi"/>
        </w:rPr>
        <w:t>anju. Intern</w:t>
      </w:r>
      <w:r>
        <w:rPr>
          <w:rFonts w:cstheme="minorHAnsi"/>
        </w:rPr>
        <w:t>o</w:t>
      </w:r>
      <w:r w:rsidRPr="00872559">
        <w:rPr>
          <w:rFonts w:cstheme="minorHAnsi"/>
        </w:rPr>
        <w:t>m uput</w:t>
      </w:r>
      <w:r>
        <w:rPr>
          <w:rFonts w:cstheme="minorHAnsi"/>
        </w:rPr>
        <w:t>om</w:t>
      </w:r>
      <w:r w:rsidRPr="00872559">
        <w:rPr>
          <w:rFonts w:cstheme="minorHAnsi"/>
        </w:rPr>
        <w:t xml:space="preserve"> utvr</w:t>
      </w:r>
      <w:r>
        <w:rPr>
          <w:rFonts w:cstheme="minorHAnsi"/>
        </w:rPr>
        <w:t>đ</w:t>
      </w:r>
      <w:r w:rsidRPr="00872559">
        <w:rPr>
          <w:rFonts w:cstheme="minorHAnsi"/>
        </w:rPr>
        <w:t xml:space="preserve">eni su rokovi za </w:t>
      </w:r>
      <w:r>
        <w:rPr>
          <w:rFonts w:cstheme="minorHAnsi"/>
        </w:rPr>
        <w:t xml:space="preserve">dostavu financijske </w:t>
      </w:r>
      <w:r w:rsidRPr="00872559">
        <w:rPr>
          <w:rFonts w:cstheme="minorHAnsi"/>
        </w:rPr>
        <w:t xml:space="preserve">dokumentacije koja </w:t>
      </w:r>
      <w:r>
        <w:rPr>
          <w:rFonts w:cstheme="minorHAnsi"/>
        </w:rPr>
        <w:t>ć</w:t>
      </w:r>
      <w:r w:rsidRPr="00872559">
        <w:rPr>
          <w:rFonts w:cstheme="minorHAnsi"/>
        </w:rPr>
        <w:t>e se evidentirati u poslovnim knjigama 201</w:t>
      </w:r>
      <w:r>
        <w:rPr>
          <w:rFonts w:cstheme="minorHAnsi"/>
        </w:rPr>
        <w:t>8</w:t>
      </w:r>
      <w:r w:rsidRPr="00872559">
        <w:rPr>
          <w:rFonts w:cstheme="minorHAnsi"/>
        </w:rPr>
        <w:t>. godine.</w:t>
      </w:r>
    </w:p>
    <w:p w:rsidR="003E338E" w:rsidRDefault="003E338E" w:rsidP="001B5FD7">
      <w:pPr>
        <w:jc w:val="both"/>
      </w:pPr>
    </w:p>
    <w:p w:rsidR="001A551C" w:rsidRDefault="001A551C" w:rsidP="001B5FD7">
      <w:pPr>
        <w:jc w:val="both"/>
      </w:pPr>
    </w:p>
    <w:p w:rsidR="002B4A35" w:rsidRPr="002B4A35" w:rsidRDefault="002B4A35" w:rsidP="002B4A35">
      <w:pPr>
        <w:rPr>
          <w:sz w:val="28"/>
          <w:szCs w:val="28"/>
        </w:rPr>
      </w:pPr>
      <w:r w:rsidRPr="002B4A35">
        <w:rPr>
          <w:sz w:val="28"/>
          <w:szCs w:val="28"/>
        </w:rPr>
        <w:t>BILJEŠKE UZ OBRAZAC BILANCA</w:t>
      </w:r>
    </w:p>
    <w:p w:rsidR="00076E84" w:rsidRDefault="00076E84" w:rsidP="00076E84">
      <w:pPr>
        <w:jc w:val="both"/>
      </w:pPr>
      <w:r>
        <w:t>Ukupna imovina Grada na dan 31.12.2018. iznosi 17.796.869.405 kn i u odnosu na prethodnu godinu smanjena je za 185.002.117 kn. Nefinancijska imovina čini 71</w:t>
      </w:r>
      <w:r w:rsidRPr="0001027E">
        <w:t xml:space="preserve">% aktive, a ostalih </w:t>
      </w:r>
      <w:r>
        <w:t>29</w:t>
      </w:r>
      <w:r w:rsidRPr="0001027E">
        <w:t>%</w:t>
      </w:r>
      <w:r>
        <w:t xml:space="preserve"> čini financijska imovina.</w:t>
      </w:r>
    </w:p>
    <w:tbl>
      <w:tblPr>
        <w:tblStyle w:val="TableGrid"/>
        <w:tblW w:w="9464" w:type="dxa"/>
        <w:tblLayout w:type="fixed"/>
        <w:tblLook w:val="04A0" w:firstRow="1" w:lastRow="0" w:firstColumn="1" w:lastColumn="0" w:noHBand="0" w:noVBand="1"/>
      </w:tblPr>
      <w:tblGrid>
        <w:gridCol w:w="675"/>
        <w:gridCol w:w="2268"/>
        <w:gridCol w:w="567"/>
        <w:gridCol w:w="1701"/>
        <w:gridCol w:w="1701"/>
        <w:gridCol w:w="993"/>
        <w:gridCol w:w="1559"/>
      </w:tblGrid>
      <w:tr w:rsidR="00076E84" w:rsidRPr="00774066" w:rsidTr="00CF6359">
        <w:trPr>
          <w:trHeight w:val="600"/>
        </w:trPr>
        <w:tc>
          <w:tcPr>
            <w:tcW w:w="675" w:type="dxa"/>
            <w:shd w:val="clear" w:color="auto" w:fill="DEEAF6" w:themeFill="accent1" w:themeFillTint="33"/>
            <w:noWrap/>
            <w:vAlign w:val="center"/>
            <w:hideMark/>
          </w:tcPr>
          <w:p w:rsidR="00076E84" w:rsidRPr="00942154" w:rsidRDefault="00076E84" w:rsidP="00CF6359">
            <w:pPr>
              <w:jc w:val="center"/>
              <w:rPr>
                <w:sz w:val="20"/>
                <w:szCs w:val="20"/>
              </w:rPr>
            </w:pPr>
            <w:r w:rsidRPr="00942154">
              <w:rPr>
                <w:sz w:val="20"/>
                <w:szCs w:val="20"/>
              </w:rPr>
              <w:t>RAČUN</w:t>
            </w:r>
          </w:p>
        </w:tc>
        <w:tc>
          <w:tcPr>
            <w:tcW w:w="2268" w:type="dxa"/>
            <w:shd w:val="clear" w:color="auto" w:fill="DEEAF6" w:themeFill="accent1" w:themeFillTint="33"/>
            <w:vAlign w:val="center"/>
            <w:hideMark/>
          </w:tcPr>
          <w:p w:rsidR="00076E84" w:rsidRPr="00774066" w:rsidRDefault="00076E84" w:rsidP="00CF6359">
            <w:pPr>
              <w:jc w:val="center"/>
            </w:pPr>
            <w:r w:rsidRPr="00774066">
              <w:t>OPIS</w:t>
            </w:r>
          </w:p>
        </w:tc>
        <w:tc>
          <w:tcPr>
            <w:tcW w:w="567" w:type="dxa"/>
            <w:shd w:val="clear" w:color="auto" w:fill="DEEAF6" w:themeFill="accent1" w:themeFillTint="33"/>
            <w:noWrap/>
            <w:vAlign w:val="center"/>
            <w:hideMark/>
          </w:tcPr>
          <w:p w:rsidR="00076E84" w:rsidRPr="00184923" w:rsidRDefault="00076E84" w:rsidP="00CF6359">
            <w:pPr>
              <w:jc w:val="center"/>
              <w:rPr>
                <w:b/>
                <w:sz w:val="16"/>
                <w:szCs w:val="16"/>
              </w:rPr>
            </w:pPr>
            <w:r w:rsidRPr="00184923">
              <w:rPr>
                <w:b/>
                <w:sz w:val="16"/>
                <w:szCs w:val="16"/>
              </w:rPr>
              <w:t>AOP</w:t>
            </w:r>
          </w:p>
        </w:tc>
        <w:tc>
          <w:tcPr>
            <w:tcW w:w="1701"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701"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93" w:type="dxa"/>
            <w:shd w:val="clear" w:color="auto" w:fill="DEEAF6" w:themeFill="accent1" w:themeFillTint="33"/>
            <w:hideMark/>
          </w:tcPr>
          <w:p w:rsidR="00076E84" w:rsidRPr="00942154" w:rsidRDefault="00076E84" w:rsidP="00CF6359">
            <w:pPr>
              <w:rPr>
                <w:sz w:val="20"/>
                <w:szCs w:val="20"/>
              </w:rPr>
            </w:pPr>
            <w:r w:rsidRPr="00942154">
              <w:rPr>
                <w:sz w:val="20"/>
                <w:szCs w:val="20"/>
              </w:rPr>
              <w:t>Indeks 5/4*100</w:t>
            </w:r>
          </w:p>
        </w:tc>
        <w:tc>
          <w:tcPr>
            <w:tcW w:w="1559" w:type="dxa"/>
            <w:shd w:val="clear" w:color="auto" w:fill="DEEAF6" w:themeFill="accent1" w:themeFillTint="33"/>
            <w:vAlign w:val="center"/>
            <w:hideMark/>
          </w:tcPr>
          <w:p w:rsidR="00076E84" w:rsidRPr="00774066" w:rsidRDefault="00076E84" w:rsidP="00CF6359">
            <w:pPr>
              <w:jc w:val="center"/>
            </w:pPr>
            <w:r w:rsidRPr="00774066">
              <w:t>Povećanje</w:t>
            </w:r>
            <w:r>
              <w:t>/ Smanjenje</w:t>
            </w:r>
          </w:p>
        </w:tc>
      </w:tr>
      <w:tr w:rsidR="00076E84" w:rsidRPr="00774066" w:rsidTr="00CF6359">
        <w:trPr>
          <w:trHeight w:val="195"/>
        </w:trPr>
        <w:tc>
          <w:tcPr>
            <w:tcW w:w="675"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268"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567"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701"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701"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9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559"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774066" w:rsidTr="00CF6359">
        <w:trPr>
          <w:trHeight w:val="300"/>
        </w:trPr>
        <w:tc>
          <w:tcPr>
            <w:tcW w:w="675" w:type="dxa"/>
            <w:noWrap/>
            <w:vAlign w:val="center"/>
            <w:hideMark/>
          </w:tcPr>
          <w:p w:rsidR="00076E84" w:rsidRPr="00942154" w:rsidRDefault="00076E84" w:rsidP="00CF6359">
            <w:pPr>
              <w:jc w:val="right"/>
              <w:rPr>
                <w:bCs/>
              </w:rPr>
            </w:pPr>
            <w:r w:rsidRPr="00942154">
              <w:rPr>
                <w:bCs/>
              </w:rPr>
              <w:t>0</w:t>
            </w:r>
          </w:p>
        </w:tc>
        <w:tc>
          <w:tcPr>
            <w:tcW w:w="2268" w:type="dxa"/>
            <w:vAlign w:val="center"/>
            <w:hideMark/>
          </w:tcPr>
          <w:p w:rsidR="00076E84" w:rsidRPr="00942154" w:rsidRDefault="00076E84" w:rsidP="00CF6359">
            <w:pPr>
              <w:rPr>
                <w:bCs/>
              </w:rPr>
            </w:pPr>
            <w:r w:rsidRPr="00942154">
              <w:rPr>
                <w:bCs/>
              </w:rPr>
              <w:t xml:space="preserve">Nefinancijska imovina </w:t>
            </w:r>
          </w:p>
        </w:tc>
        <w:tc>
          <w:tcPr>
            <w:tcW w:w="567" w:type="dxa"/>
            <w:noWrap/>
            <w:hideMark/>
          </w:tcPr>
          <w:p w:rsidR="00076E84" w:rsidRPr="00942154" w:rsidRDefault="00076E84" w:rsidP="00CF6359">
            <w:pPr>
              <w:jc w:val="right"/>
              <w:rPr>
                <w:bCs/>
              </w:rPr>
            </w:pPr>
            <w:r w:rsidRPr="00942154">
              <w:rPr>
                <w:bCs/>
              </w:rPr>
              <w:t>002</w:t>
            </w:r>
          </w:p>
        </w:tc>
        <w:tc>
          <w:tcPr>
            <w:tcW w:w="1701" w:type="dxa"/>
            <w:noWrap/>
            <w:hideMark/>
          </w:tcPr>
          <w:p w:rsidR="00076E84" w:rsidRPr="002A5034" w:rsidRDefault="00076E84" w:rsidP="00CF6359">
            <w:pPr>
              <w:jc w:val="right"/>
            </w:pPr>
            <w:r w:rsidRPr="002A5034">
              <w:t>11.851.953.773</w:t>
            </w:r>
          </w:p>
        </w:tc>
        <w:tc>
          <w:tcPr>
            <w:tcW w:w="1701" w:type="dxa"/>
            <w:noWrap/>
          </w:tcPr>
          <w:p w:rsidR="00076E84" w:rsidRPr="00942154" w:rsidRDefault="00076E84" w:rsidP="00CF6359">
            <w:pPr>
              <w:jc w:val="right"/>
              <w:rPr>
                <w:bCs/>
              </w:rPr>
            </w:pPr>
            <w:r>
              <w:rPr>
                <w:bCs/>
              </w:rPr>
              <w:t>12.639.475.548</w:t>
            </w:r>
          </w:p>
        </w:tc>
        <w:tc>
          <w:tcPr>
            <w:tcW w:w="993" w:type="dxa"/>
            <w:noWrap/>
            <w:vAlign w:val="center"/>
          </w:tcPr>
          <w:p w:rsidR="00076E84" w:rsidRPr="00942154" w:rsidRDefault="00076E84" w:rsidP="00CF6359">
            <w:pPr>
              <w:jc w:val="right"/>
              <w:rPr>
                <w:bCs/>
              </w:rPr>
            </w:pPr>
            <w:r>
              <w:rPr>
                <w:bCs/>
              </w:rPr>
              <w:t>106,6</w:t>
            </w:r>
          </w:p>
        </w:tc>
        <w:tc>
          <w:tcPr>
            <w:tcW w:w="1559" w:type="dxa"/>
            <w:noWrap/>
          </w:tcPr>
          <w:p w:rsidR="00076E84" w:rsidRPr="00942154" w:rsidRDefault="00076E84" w:rsidP="00CF6359">
            <w:pPr>
              <w:jc w:val="right"/>
              <w:rPr>
                <w:bCs/>
              </w:rPr>
            </w:pPr>
            <w:r>
              <w:rPr>
                <w:bCs/>
              </w:rPr>
              <w:t>787.521.775</w:t>
            </w:r>
          </w:p>
        </w:tc>
      </w:tr>
      <w:tr w:rsidR="00076E84" w:rsidRPr="00774066" w:rsidTr="00CF6359">
        <w:trPr>
          <w:trHeight w:val="300"/>
        </w:trPr>
        <w:tc>
          <w:tcPr>
            <w:tcW w:w="675" w:type="dxa"/>
            <w:noWrap/>
            <w:vAlign w:val="center"/>
          </w:tcPr>
          <w:p w:rsidR="00076E84" w:rsidRPr="00942154" w:rsidRDefault="00076E84" w:rsidP="00CF6359">
            <w:pPr>
              <w:jc w:val="right"/>
              <w:rPr>
                <w:bCs/>
              </w:rPr>
            </w:pPr>
            <w:r w:rsidRPr="00942154">
              <w:rPr>
                <w:bCs/>
              </w:rPr>
              <w:t>1</w:t>
            </w:r>
          </w:p>
        </w:tc>
        <w:tc>
          <w:tcPr>
            <w:tcW w:w="2268" w:type="dxa"/>
            <w:vAlign w:val="center"/>
          </w:tcPr>
          <w:p w:rsidR="00076E84" w:rsidRPr="00942154" w:rsidRDefault="00076E84" w:rsidP="00CF6359">
            <w:pPr>
              <w:rPr>
                <w:bCs/>
              </w:rPr>
            </w:pPr>
            <w:r w:rsidRPr="00942154">
              <w:rPr>
                <w:bCs/>
              </w:rPr>
              <w:t>Financijska imovina</w:t>
            </w:r>
          </w:p>
        </w:tc>
        <w:tc>
          <w:tcPr>
            <w:tcW w:w="567" w:type="dxa"/>
            <w:noWrap/>
            <w:vAlign w:val="center"/>
          </w:tcPr>
          <w:p w:rsidR="00076E84" w:rsidRPr="00942154" w:rsidRDefault="00076E84" w:rsidP="00CF6359">
            <w:pPr>
              <w:jc w:val="right"/>
              <w:rPr>
                <w:bCs/>
              </w:rPr>
            </w:pPr>
            <w:r w:rsidRPr="00942154">
              <w:rPr>
                <w:bCs/>
              </w:rPr>
              <w:t>063</w:t>
            </w:r>
          </w:p>
        </w:tc>
        <w:tc>
          <w:tcPr>
            <w:tcW w:w="1701" w:type="dxa"/>
            <w:noWrap/>
          </w:tcPr>
          <w:p w:rsidR="00076E84" w:rsidRDefault="00076E84" w:rsidP="00CF6359">
            <w:pPr>
              <w:jc w:val="right"/>
            </w:pPr>
            <w:r w:rsidRPr="002A5034">
              <w:t>6.129.917.749</w:t>
            </w:r>
          </w:p>
        </w:tc>
        <w:tc>
          <w:tcPr>
            <w:tcW w:w="1701" w:type="dxa"/>
            <w:noWrap/>
            <w:vAlign w:val="center"/>
          </w:tcPr>
          <w:p w:rsidR="00076E84" w:rsidRPr="00942154" w:rsidRDefault="00076E84" w:rsidP="00CF6359">
            <w:pPr>
              <w:jc w:val="right"/>
              <w:rPr>
                <w:bCs/>
              </w:rPr>
            </w:pPr>
            <w:r>
              <w:rPr>
                <w:bCs/>
              </w:rPr>
              <w:t>5.157.393.857</w:t>
            </w:r>
          </w:p>
        </w:tc>
        <w:tc>
          <w:tcPr>
            <w:tcW w:w="993" w:type="dxa"/>
            <w:noWrap/>
            <w:vAlign w:val="center"/>
          </w:tcPr>
          <w:p w:rsidR="00076E84" w:rsidRPr="00942154" w:rsidRDefault="00076E84" w:rsidP="00CF6359">
            <w:pPr>
              <w:jc w:val="right"/>
              <w:rPr>
                <w:bCs/>
              </w:rPr>
            </w:pPr>
            <w:r>
              <w:rPr>
                <w:bCs/>
              </w:rPr>
              <w:t>84,1</w:t>
            </w:r>
          </w:p>
        </w:tc>
        <w:tc>
          <w:tcPr>
            <w:tcW w:w="1559" w:type="dxa"/>
            <w:noWrap/>
            <w:vAlign w:val="center"/>
          </w:tcPr>
          <w:p w:rsidR="00076E84" w:rsidRPr="00942154" w:rsidRDefault="00076E84" w:rsidP="00CF6359">
            <w:pPr>
              <w:jc w:val="right"/>
              <w:rPr>
                <w:bCs/>
              </w:rPr>
            </w:pPr>
            <w:r>
              <w:rPr>
                <w:bCs/>
              </w:rPr>
              <w:t>-972.523.892</w:t>
            </w:r>
          </w:p>
        </w:tc>
      </w:tr>
    </w:tbl>
    <w:p w:rsidR="00076E84" w:rsidRDefault="00076E84" w:rsidP="00076E84">
      <w:pPr>
        <w:spacing w:after="0"/>
      </w:pPr>
    </w:p>
    <w:p w:rsidR="00076E84" w:rsidRDefault="00076E84" w:rsidP="00076E84">
      <w:r w:rsidRPr="00D61E11">
        <w:rPr>
          <w:b/>
        </w:rPr>
        <w:t>Bilješka br. 1</w:t>
      </w:r>
      <w:r>
        <w:t xml:space="preserve"> – AOP 004 </w:t>
      </w:r>
      <w:r w:rsidRPr="00774066">
        <w:t>Materijalna imovina - prirodna bogatstva</w:t>
      </w:r>
    </w:p>
    <w:tbl>
      <w:tblPr>
        <w:tblStyle w:val="TableGrid"/>
        <w:tblW w:w="0" w:type="auto"/>
        <w:tblLook w:val="04A0" w:firstRow="1" w:lastRow="0" w:firstColumn="1" w:lastColumn="0" w:noHBand="0" w:noVBand="1"/>
      </w:tblPr>
      <w:tblGrid>
        <w:gridCol w:w="805"/>
        <w:gridCol w:w="2025"/>
        <w:gridCol w:w="568"/>
        <w:gridCol w:w="1701"/>
        <w:gridCol w:w="1701"/>
        <w:gridCol w:w="993"/>
        <w:gridCol w:w="1495"/>
      </w:tblGrid>
      <w:tr w:rsidR="00076E84" w:rsidRPr="00774066" w:rsidTr="00CF6359">
        <w:trPr>
          <w:trHeight w:val="600"/>
        </w:trPr>
        <w:tc>
          <w:tcPr>
            <w:tcW w:w="675" w:type="dxa"/>
            <w:shd w:val="clear" w:color="auto" w:fill="DEEAF6" w:themeFill="accent1" w:themeFillTint="33"/>
            <w:noWrap/>
            <w:vAlign w:val="center"/>
            <w:hideMark/>
          </w:tcPr>
          <w:p w:rsidR="00076E84" w:rsidRPr="00942154" w:rsidRDefault="00076E84" w:rsidP="00CF6359">
            <w:pPr>
              <w:jc w:val="center"/>
              <w:rPr>
                <w:sz w:val="20"/>
                <w:szCs w:val="20"/>
              </w:rPr>
            </w:pPr>
            <w:r w:rsidRPr="00942154">
              <w:rPr>
                <w:sz w:val="20"/>
                <w:szCs w:val="20"/>
              </w:rPr>
              <w:t>RAČUN</w:t>
            </w:r>
          </w:p>
        </w:tc>
        <w:tc>
          <w:tcPr>
            <w:tcW w:w="2267" w:type="dxa"/>
            <w:shd w:val="clear" w:color="auto" w:fill="DEEAF6" w:themeFill="accent1" w:themeFillTint="33"/>
            <w:vAlign w:val="center"/>
            <w:hideMark/>
          </w:tcPr>
          <w:p w:rsidR="00076E84" w:rsidRPr="00774066" w:rsidRDefault="00076E84" w:rsidP="00CF6359">
            <w:pPr>
              <w:jc w:val="center"/>
            </w:pPr>
            <w:r w:rsidRPr="00774066">
              <w:t>OPIS</w:t>
            </w:r>
          </w:p>
        </w:tc>
        <w:tc>
          <w:tcPr>
            <w:tcW w:w="568"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701" w:type="dxa"/>
            <w:shd w:val="clear" w:color="auto" w:fill="DEEAF6" w:themeFill="accent1" w:themeFillTint="33"/>
            <w:noWrap/>
            <w:vAlign w:val="center"/>
            <w:hideMark/>
          </w:tcPr>
          <w:p w:rsidR="00076E84" w:rsidRPr="00774066" w:rsidRDefault="00076E84" w:rsidP="00CF6359">
            <w:pPr>
              <w:jc w:val="center"/>
            </w:pPr>
            <w:r w:rsidRPr="00E14948">
              <w:t>Stanje 01.01.1</w:t>
            </w:r>
            <w:r>
              <w:t>8</w:t>
            </w:r>
            <w:r w:rsidRPr="00E14948">
              <w:t>.</w:t>
            </w:r>
          </w:p>
        </w:tc>
        <w:tc>
          <w:tcPr>
            <w:tcW w:w="1701"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93" w:type="dxa"/>
            <w:shd w:val="clear" w:color="auto" w:fill="DEEAF6" w:themeFill="accent1" w:themeFillTint="33"/>
            <w:vAlign w:val="center"/>
            <w:hideMark/>
          </w:tcPr>
          <w:p w:rsidR="00076E84" w:rsidRPr="00942154" w:rsidRDefault="00076E84" w:rsidP="00CF6359">
            <w:pPr>
              <w:jc w:val="center"/>
              <w:rPr>
                <w:sz w:val="20"/>
                <w:szCs w:val="20"/>
              </w:rPr>
            </w:pPr>
            <w:r w:rsidRPr="00942154">
              <w:rPr>
                <w:sz w:val="20"/>
                <w:szCs w:val="20"/>
              </w:rPr>
              <w:t>Indeks 5/4*100</w:t>
            </w:r>
          </w:p>
        </w:tc>
        <w:tc>
          <w:tcPr>
            <w:tcW w:w="1495" w:type="dxa"/>
            <w:shd w:val="clear" w:color="auto" w:fill="DEEAF6" w:themeFill="accent1" w:themeFillTint="33"/>
            <w:vAlign w:val="center"/>
            <w:hideMark/>
          </w:tcPr>
          <w:p w:rsidR="00076E84" w:rsidRPr="00774066" w:rsidRDefault="00076E84" w:rsidP="00CF6359">
            <w:pPr>
              <w:jc w:val="center"/>
            </w:pPr>
            <w:r w:rsidRPr="00774066">
              <w:t>Povećanje</w:t>
            </w:r>
          </w:p>
        </w:tc>
      </w:tr>
      <w:tr w:rsidR="00076E84" w:rsidRPr="00774066" w:rsidTr="00CF6359">
        <w:trPr>
          <w:trHeight w:val="195"/>
        </w:trPr>
        <w:tc>
          <w:tcPr>
            <w:tcW w:w="675"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267"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568"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701"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701"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9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95"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774066" w:rsidTr="00CF6359">
        <w:trPr>
          <w:trHeight w:val="300"/>
        </w:trPr>
        <w:tc>
          <w:tcPr>
            <w:tcW w:w="675" w:type="dxa"/>
            <w:noWrap/>
            <w:vAlign w:val="center"/>
            <w:hideMark/>
          </w:tcPr>
          <w:p w:rsidR="00076E84" w:rsidRPr="00774066" w:rsidRDefault="00076E84" w:rsidP="00CF6359">
            <w:pPr>
              <w:jc w:val="right"/>
            </w:pPr>
            <w:r w:rsidRPr="00774066">
              <w:t>011</w:t>
            </w:r>
          </w:p>
        </w:tc>
        <w:tc>
          <w:tcPr>
            <w:tcW w:w="2267" w:type="dxa"/>
            <w:vAlign w:val="center"/>
            <w:hideMark/>
          </w:tcPr>
          <w:p w:rsidR="00076E84" w:rsidRPr="00774066" w:rsidRDefault="00076E84" w:rsidP="00CF6359">
            <w:r w:rsidRPr="00774066">
              <w:t>Materijalna imovina - prirodna bogatstva</w:t>
            </w:r>
          </w:p>
        </w:tc>
        <w:tc>
          <w:tcPr>
            <w:tcW w:w="568" w:type="dxa"/>
            <w:noWrap/>
            <w:vAlign w:val="center"/>
            <w:hideMark/>
          </w:tcPr>
          <w:p w:rsidR="00076E84" w:rsidRPr="00774066" w:rsidRDefault="00076E84" w:rsidP="00CF6359">
            <w:pPr>
              <w:jc w:val="right"/>
            </w:pPr>
            <w:r>
              <w:t>00</w:t>
            </w:r>
            <w:r w:rsidRPr="00774066">
              <w:t>4</w:t>
            </w:r>
          </w:p>
        </w:tc>
        <w:tc>
          <w:tcPr>
            <w:tcW w:w="1701" w:type="dxa"/>
            <w:noWrap/>
            <w:vAlign w:val="center"/>
            <w:hideMark/>
          </w:tcPr>
          <w:p w:rsidR="00076E84" w:rsidRPr="00774066" w:rsidRDefault="00076E84" w:rsidP="00CF6359">
            <w:pPr>
              <w:jc w:val="right"/>
            </w:pPr>
            <w:r w:rsidRPr="004B314F">
              <w:t>1.118.565.959</w:t>
            </w:r>
          </w:p>
        </w:tc>
        <w:tc>
          <w:tcPr>
            <w:tcW w:w="1701" w:type="dxa"/>
            <w:noWrap/>
            <w:vAlign w:val="center"/>
            <w:hideMark/>
          </w:tcPr>
          <w:p w:rsidR="00076E84" w:rsidRPr="00774066" w:rsidRDefault="00076E84" w:rsidP="00CF6359">
            <w:pPr>
              <w:jc w:val="right"/>
            </w:pPr>
            <w:r>
              <w:t>1.190.613.010</w:t>
            </w:r>
          </w:p>
        </w:tc>
        <w:tc>
          <w:tcPr>
            <w:tcW w:w="993" w:type="dxa"/>
            <w:noWrap/>
            <w:vAlign w:val="center"/>
          </w:tcPr>
          <w:p w:rsidR="00076E84" w:rsidRPr="00774066" w:rsidRDefault="00076E84" w:rsidP="00CF6359">
            <w:pPr>
              <w:jc w:val="right"/>
            </w:pPr>
            <w:r>
              <w:t>106,4</w:t>
            </w:r>
          </w:p>
        </w:tc>
        <w:tc>
          <w:tcPr>
            <w:tcW w:w="1495" w:type="dxa"/>
            <w:noWrap/>
            <w:vAlign w:val="center"/>
          </w:tcPr>
          <w:p w:rsidR="00076E84" w:rsidRPr="00774066" w:rsidRDefault="00076E84" w:rsidP="00CF6359">
            <w:pPr>
              <w:jc w:val="right"/>
            </w:pPr>
            <w:r>
              <w:t>72.047.051</w:t>
            </w:r>
          </w:p>
        </w:tc>
      </w:tr>
    </w:tbl>
    <w:p w:rsidR="00076E84" w:rsidRDefault="00076E84" w:rsidP="00076E84">
      <w:pPr>
        <w:spacing w:after="0"/>
      </w:pPr>
    </w:p>
    <w:p w:rsidR="00076E84" w:rsidRDefault="00076E84" w:rsidP="00076E84">
      <w:pPr>
        <w:jc w:val="both"/>
      </w:pPr>
      <w:r>
        <w:t xml:space="preserve">Materijalna imovina prirodna bogatstva povećana su za 72.047.051 kn, odnosno 6,4% u odnosu na prethodnu godinu. Povećanje u ukupnom iznosu od 78.822.869 kn rezultat je evidentiranja zemljišta  u vlasništvu Grada prema procijenjenoj vrijednosti od strane sudskog vještaka u iznosu 56.624.358 kn, zatim kupnje zemljišta za pročistač otpadnih voda 3.608.843 kn, zemljišta za koja je proveden postupak izvlaštenja i isplaćena naknada za oduzeta zemljišta 6.806.950 kn i kupnje zemljišta za izgradnju kulturnih, sportskih, socijalnih i dr. objekata u iznosu od 11.782.718 kn. Smanjenje u iznosu od 6.775.818 kn odnosi se na isknjiženje prodanih zemljišta. </w:t>
      </w:r>
    </w:p>
    <w:p w:rsidR="00076E84" w:rsidRDefault="00076E84" w:rsidP="00076E84">
      <w:r w:rsidRPr="00D61E11">
        <w:rPr>
          <w:b/>
        </w:rPr>
        <w:t>Bilješka br. 2</w:t>
      </w:r>
      <w:r>
        <w:t xml:space="preserve"> – AOP 005 </w:t>
      </w:r>
      <w:r w:rsidRPr="00774066">
        <w:t>Nematerijalna imovina</w:t>
      </w:r>
    </w:p>
    <w:tbl>
      <w:tblPr>
        <w:tblStyle w:val="TableGrid"/>
        <w:tblW w:w="0" w:type="auto"/>
        <w:tblLook w:val="04A0" w:firstRow="1" w:lastRow="0" w:firstColumn="1" w:lastColumn="0" w:noHBand="0" w:noVBand="1"/>
      </w:tblPr>
      <w:tblGrid>
        <w:gridCol w:w="864"/>
        <w:gridCol w:w="2233"/>
        <w:gridCol w:w="603"/>
        <w:gridCol w:w="1640"/>
        <w:gridCol w:w="1619"/>
        <w:gridCol w:w="969"/>
        <w:gridCol w:w="1360"/>
      </w:tblGrid>
      <w:tr w:rsidR="00076E84" w:rsidRPr="00774066" w:rsidTr="00CF6359">
        <w:trPr>
          <w:trHeight w:val="600"/>
        </w:trPr>
        <w:tc>
          <w:tcPr>
            <w:tcW w:w="864"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233" w:type="dxa"/>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E14948">
              <w:t>Stanje 01.01.1</w:t>
            </w:r>
            <w:r>
              <w:t>8</w:t>
            </w:r>
            <w:r w:rsidRPr="00E14948">
              <w:t>.</w:t>
            </w:r>
          </w:p>
        </w:tc>
        <w:tc>
          <w:tcPr>
            <w:tcW w:w="161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69"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360"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233"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1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360"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774066" w:rsidTr="00CF6359">
        <w:trPr>
          <w:trHeight w:val="300"/>
        </w:trPr>
        <w:tc>
          <w:tcPr>
            <w:tcW w:w="864" w:type="dxa"/>
            <w:noWrap/>
            <w:vAlign w:val="center"/>
            <w:hideMark/>
          </w:tcPr>
          <w:p w:rsidR="00076E84" w:rsidRPr="00774066" w:rsidRDefault="00076E84" w:rsidP="00CF6359">
            <w:pPr>
              <w:jc w:val="right"/>
            </w:pPr>
            <w:r w:rsidRPr="00774066">
              <w:t>012</w:t>
            </w:r>
          </w:p>
        </w:tc>
        <w:tc>
          <w:tcPr>
            <w:tcW w:w="2233" w:type="dxa"/>
            <w:vAlign w:val="center"/>
            <w:hideMark/>
          </w:tcPr>
          <w:p w:rsidR="00076E84" w:rsidRPr="00774066" w:rsidRDefault="00076E84" w:rsidP="00CF6359">
            <w:r w:rsidRPr="00774066">
              <w:t xml:space="preserve">Nematerijalna imovina </w:t>
            </w:r>
          </w:p>
        </w:tc>
        <w:tc>
          <w:tcPr>
            <w:tcW w:w="603" w:type="dxa"/>
            <w:noWrap/>
            <w:vAlign w:val="center"/>
            <w:hideMark/>
          </w:tcPr>
          <w:p w:rsidR="00076E84" w:rsidRPr="00774066" w:rsidRDefault="00076E84" w:rsidP="00CF6359">
            <w:pPr>
              <w:jc w:val="right"/>
            </w:pPr>
            <w:r>
              <w:t>00</w:t>
            </w:r>
            <w:r w:rsidRPr="00774066">
              <w:t>5</w:t>
            </w:r>
          </w:p>
        </w:tc>
        <w:tc>
          <w:tcPr>
            <w:tcW w:w="1640" w:type="dxa"/>
            <w:noWrap/>
            <w:vAlign w:val="center"/>
            <w:hideMark/>
          </w:tcPr>
          <w:p w:rsidR="00076E84" w:rsidRPr="00774066" w:rsidRDefault="00076E84" w:rsidP="00CF6359">
            <w:pPr>
              <w:jc w:val="right"/>
            </w:pPr>
            <w:r w:rsidRPr="004B314F">
              <w:t>121.690.604</w:t>
            </w:r>
          </w:p>
        </w:tc>
        <w:tc>
          <w:tcPr>
            <w:tcW w:w="1619" w:type="dxa"/>
            <w:noWrap/>
            <w:vAlign w:val="center"/>
            <w:hideMark/>
          </w:tcPr>
          <w:p w:rsidR="00076E84" w:rsidRPr="00774066" w:rsidRDefault="00076E84" w:rsidP="00CF6359">
            <w:pPr>
              <w:jc w:val="right"/>
            </w:pPr>
            <w:r>
              <w:t>127.582.372</w:t>
            </w:r>
          </w:p>
        </w:tc>
        <w:tc>
          <w:tcPr>
            <w:tcW w:w="969" w:type="dxa"/>
            <w:noWrap/>
            <w:vAlign w:val="center"/>
          </w:tcPr>
          <w:p w:rsidR="00076E84" w:rsidRPr="00774066" w:rsidRDefault="00076E84" w:rsidP="00CF6359">
            <w:pPr>
              <w:jc w:val="right"/>
            </w:pPr>
            <w:r>
              <w:t>104,8</w:t>
            </w:r>
          </w:p>
        </w:tc>
        <w:tc>
          <w:tcPr>
            <w:tcW w:w="1360" w:type="dxa"/>
            <w:noWrap/>
            <w:vAlign w:val="center"/>
          </w:tcPr>
          <w:p w:rsidR="00076E84" w:rsidRPr="00774066" w:rsidRDefault="00076E84" w:rsidP="00CF6359">
            <w:pPr>
              <w:jc w:val="right"/>
            </w:pPr>
            <w:r>
              <w:t>5.891.768</w:t>
            </w:r>
          </w:p>
        </w:tc>
      </w:tr>
    </w:tbl>
    <w:p w:rsidR="00076E84" w:rsidRDefault="00076E84" w:rsidP="00076E84">
      <w:pPr>
        <w:spacing w:after="0"/>
      </w:pPr>
    </w:p>
    <w:p w:rsidR="00076E84" w:rsidRPr="00113603" w:rsidRDefault="00076E84" w:rsidP="00076E84">
      <w:pPr>
        <w:jc w:val="both"/>
      </w:pPr>
      <w:r>
        <w:t xml:space="preserve">Nematerijalna imovina povećana je za 5.891.768 kn, odnosno 4,8% u odnosu na prethodnu godinu. Tijekom godine nabavljene su licence za korištenje Microsoft proizvoda.  </w:t>
      </w:r>
    </w:p>
    <w:p w:rsidR="00076E84" w:rsidRDefault="00076E84" w:rsidP="00076E84">
      <w:r w:rsidRPr="00D61E11">
        <w:rPr>
          <w:b/>
        </w:rPr>
        <w:t>Bilješka br. 3</w:t>
      </w:r>
      <w:r>
        <w:t xml:space="preserve"> – AOP 006 </w:t>
      </w:r>
      <w:r w:rsidRPr="00774066">
        <w:t xml:space="preserve">Ispravak vrijednosti </w:t>
      </w:r>
      <w:r>
        <w:t xml:space="preserve"> </w:t>
      </w:r>
      <w:r w:rsidRPr="00774066">
        <w:t>neproizvedene dugotrajne imovine</w:t>
      </w:r>
    </w:p>
    <w:tbl>
      <w:tblPr>
        <w:tblStyle w:val="TableGrid"/>
        <w:tblW w:w="0" w:type="auto"/>
        <w:tblLook w:val="04A0" w:firstRow="1" w:lastRow="0" w:firstColumn="1" w:lastColumn="0" w:noHBand="0" w:noVBand="1"/>
      </w:tblPr>
      <w:tblGrid>
        <w:gridCol w:w="864"/>
        <w:gridCol w:w="2233"/>
        <w:gridCol w:w="603"/>
        <w:gridCol w:w="1640"/>
        <w:gridCol w:w="1619"/>
        <w:gridCol w:w="969"/>
        <w:gridCol w:w="1360"/>
      </w:tblGrid>
      <w:tr w:rsidR="00076E84" w:rsidRPr="00774066" w:rsidTr="00CF6359">
        <w:trPr>
          <w:trHeight w:val="600"/>
        </w:trPr>
        <w:tc>
          <w:tcPr>
            <w:tcW w:w="864"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233" w:type="dxa"/>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1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69"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360"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233"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1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360"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774066" w:rsidTr="00CF6359">
        <w:trPr>
          <w:trHeight w:val="300"/>
        </w:trPr>
        <w:tc>
          <w:tcPr>
            <w:tcW w:w="864" w:type="dxa"/>
            <w:noWrap/>
            <w:vAlign w:val="center"/>
            <w:hideMark/>
          </w:tcPr>
          <w:p w:rsidR="00076E84" w:rsidRPr="00774066" w:rsidRDefault="00076E84" w:rsidP="00CF6359">
            <w:pPr>
              <w:jc w:val="right"/>
            </w:pPr>
            <w:r w:rsidRPr="00774066">
              <w:t>019</w:t>
            </w:r>
          </w:p>
        </w:tc>
        <w:tc>
          <w:tcPr>
            <w:tcW w:w="2233" w:type="dxa"/>
            <w:vAlign w:val="center"/>
            <w:hideMark/>
          </w:tcPr>
          <w:p w:rsidR="00076E84" w:rsidRPr="00774066" w:rsidRDefault="00076E84" w:rsidP="00CF6359">
            <w:r w:rsidRPr="00774066">
              <w:t>Ispravak vrijednosti neproizvedene dugotrajne imovine</w:t>
            </w:r>
          </w:p>
        </w:tc>
        <w:tc>
          <w:tcPr>
            <w:tcW w:w="603" w:type="dxa"/>
            <w:noWrap/>
            <w:vAlign w:val="center"/>
            <w:hideMark/>
          </w:tcPr>
          <w:p w:rsidR="00076E84" w:rsidRPr="00774066" w:rsidRDefault="00076E84" w:rsidP="00CF6359">
            <w:pPr>
              <w:jc w:val="right"/>
            </w:pPr>
            <w:r>
              <w:t>00</w:t>
            </w:r>
            <w:r w:rsidRPr="00774066">
              <w:t>6</w:t>
            </w:r>
          </w:p>
        </w:tc>
        <w:tc>
          <w:tcPr>
            <w:tcW w:w="1640" w:type="dxa"/>
            <w:noWrap/>
            <w:vAlign w:val="center"/>
            <w:hideMark/>
          </w:tcPr>
          <w:p w:rsidR="00076E84" w:rsidRPr="00774066" w:rsidRDefault="00076E84" w:rsidP="00CF6359">
            <w:pPr>
              <w:jc w:val="right"/>
            </w:pPr>
            <w:r w:rsidRPr="004B314F">
              <w:t>28.034.288</w:t>
            </w:r>
          </w:p>
        </w:tc>
        <w:tc>
          <w:tcPr>
            <w:tcW w:w="1619" w:type="dxa"/>
            <w:noWrap/>
            <w:vAlign w:val="center"/>
            <w:hideMark/>
          </w:tcPr>
          <w:p w:rsidR="00076E84" w:rsidRPr="00774066" w:rsidRDefault="00076E84" w:rsidP="00CF6359">
            <w:pPr>
              <w:jc w:val="right"/>
            </w:pPr>
            <w:r>
              <w:t>36.806.794</w:t>
            </w:r>
          </w:p>
        </w:tc>
        <w:tc>
          <w:tcPr>
            <w:tcW w:w="969" w:type="dxa"/>
            <w:noWrap/>
            <w:vAlign w:val="center"/>
          </w:tcPr>
          <w:p w:rsidR="00076E84" w:rsidRPr="00774066" w:rsidRDefault="00076E84" w:rsidP="00CF6359">
            <w:pPr>
              <w:jc w:val="right"/>
            </w:pPr>
            <w:r>
              <w:t>131,3</w:t>
            </w:r>
          </w:p>
        </w:tc>
        <w:tc>
          <w:tcPr>
            <w:tcW w:w="1360" w:type="dxa"/>
            <w:noWrap/>
            <w:vAlign w:val="center"/>
          </w:tcPr>
          <w:p w:rsidR="00076E84" w:rsidRPr="00774066" w:rsidRDefault="00076E84" w:rsidP="00CF6359">
            <w:pPr>
              <w:jc w:val="right"/>
            </w:pPr>
            <w:r>
              <w:t>8.772.506</w:t>
            </w:r>
          </w:p>
        </w:tc>
      </w:tr>
    </w:tbl>
    <w:p w:rsidR="00076E84" w:rsidRDefault="00076E84" w:rsidP="00076E84">
      <w:pPr>
        <w:spacing w:after="0"/>
      </w:pPr>
    </w:p>
    <w:p w:rsidR="00076E84" w:rsidRDefault="00076E84" w:rsidP="00076E84">
      <w:pPr>
        <w:jc w:val="both"/>
      </w:pPr>
      <w:r>
        <w:lastRenderedPageBreak/>
        <w:t xml:space="preserve">Ispravak vrijednosti  nematerijalne imovine – licenca i prava korištenja tuđih sredstava proveden je prema stopi ispravka vrijednosti sukladno vijeku trajanja iz ugovora. </w:t>
      </w:r>
    </w:p>
    <w:p w:rsidR="00076E84" w:rsidRDefault="00076E84" w:rsidP="00076E84">
      <w:r w:rsidRPr="00D61E11">
        <w:rPr>
          <w:b/>
        </w:rPr>
        <w:t>Bilješka br. 4</w:t>
      </w:r>
      <w:r>
        <w:t xml:space="preserve"> – AOP 009 Stambeni </w:t>
      </w:r>
      <w:r w:rsidRPr="00184923">
        <w:t>objekti</w:t>
      </w:r>
    </w:p>
    <w:tbl>
      <w:tblPr>
        <w:tblStyle w:val="TableGrid"/>
        <w:tblW w:w="0" w:type="auto"/>
        <w:tblLook w:val="04A0" w:firstRow="1" w:lastRow="0" w:firstColumn="1" w:lastColumn="0" w:noHBand="0" w:noVBand="1"/>
      </w:tblPr>
      <w:tblGrid>
        <w:gridCol w:w="817"/>
        <w:gridCol w:w="47"/>
        <w:gridCol w:w="2120"/>
        <w:gridCol w:w="12"/>
        <w:gridCol w:w="603"/>
        <w:gridCol w:w="1640"/>
        <w:gridCol w:w="1669"/>
        <w:gridCol w:w="973"/>
        <w:gridCol w:w="1407"/>
      </w:tblGrid>
      <w:tr w:rsidR="00076E84" w:rsidRPr="00774066" w:rsidTr="00CF6359">
        <w:trPr>
          <w:trHeight w:val="600"/>
        </w:trPr>
        <w:tc>
          <w:tcPr>
            <w:tcW w:w="864" w:type="dxa"/>
            <w:gridSpan w:val="2"/>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132" w:type="dxa"/>
            <w:gridSpan w:val="2"/>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gridSpan w:val="2"/>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132" w:type="dxa"/>
            <w:gridSpan w:val="2"/>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D7552E" w:rsidTr="00CF6359">
        <w:trPr>
          <w:trHeight w:val="300"/>
        </w:trPr>
        <w:tc>
          <w:tcPr>
            <w:tcW w:w="817" w:type="dxa"/>
            <w:noWrap/>
            <w:vAlign w:val="center"/>
            <w:hideMark/>
          </w:tcPr>
          <w:p w:rsidR="00076E84" w:rsidRPr="00D7552E" w:rsidRDefault="00076E84" w:rsidP="00CF6359">
            <w:pPr>
              <w:jc w:val="right"/>
              <w:rPr>
                <w:rFonts w:eastAsia="Times New Roman" w:cstheme="minorHAnsi"/>
              </w:rPr>
            </w:pPr>
            <w:r w:rsidRPr="00D7552E">
              <w:rPr>
                <w:rFonts w:eastAsia="Times New Roman" w:cstheme="minorHAnsi"/>
              </w:rPr>
              <w:t>021</w:t>
            </w:r>
            <w:r>
              <w:rPr>
                <w:rFonts w:eastAsia="Times New Roman" w:cstheme="minorHAnsi"/>
              </w:rPr>
              <w:t>1</w:t>
            </w:r>
          </w:p>
        </w:tc>
        <w:tc>
          <w:tcPr>
            <w:tcW w:w="2167" w:type="dxa"/>
            <w:gridSpan w:val="2"/>
            <w:vAlign w:val="center"/>
            <w:hideMark/>
          </w:tcPr>
          <w:p w:rsidR="00076E84" w:rsidRPr="00D7552E" w:rsidRDefault="00076E84" w:rsidP="00CF6359">
            <w:pPr>
              <w:rPr>
                <w:rFonts w:eastAsia="Times New Roman" w:cstheme="minorHAnsi"/>
              </w:rPr>
            </w:pPr>
            <w:r w:rsidRPr="00FC2FFE">
              <w:rPr>
                <w:rFonts w:eastAsia="Times New Roman" w:cstheme="minorHAnsi"/>
              </w:rPr>
              <w:t>Stambeni objekti</w:t>
            </w:r>
          </w:p>
        </w:tc>
        <w:tc>
          <w:tcPr>
            <w:tcW w:w="615" w:type="dxa"/>
            <w:gridSpan w:val="2"/>
            <w:noWrap/>
            <w:vAlign w:val="center"/>
            <w:hideMark/>
          </w:tcPr>
          <w:p w:rsidR="00076E84" w:rsidRPr="00D7552E" w:rsidRDefault="00076E84" w:rsidP="00CF6359">
            <w:pPr>
              <w:jc w:val="right"/>
              <w:rPr>
                <w:rFonts w:eastAsia="Times New Roman" w:cstheme="minorHAnsi"/>
              </w:rPr>
            </w:pPr>
            <w:r>
              <w:rPr>
                <w:rFonts w:eastAsia="Times New Roman" w:cstheme="minorHAnsi"/>
              </w:rPr>
              <w:t>009</w:t>
            </w:r>
          </w:p>
        </w:tc>
        <w:tc>
          <w:tcPr>
            <w:tcW w:w="1640" w:type="dxa"/>
            <w:noWrap/>
            <w:vAlign w:val="center"/>
            <w:hideMark/>
          </w:tcPr>
          <w:p w:rsidR="00076E84" w:rsidRPr="00D7552E" w:rsidRDefault="00076E84" w:rsidP="00CF6359">
            <w:pPr>
              <w:jc w:val="right"/>
              <w:rPr>
                <w:rFonts w:eastAsia="Times New Roman" w:cstheme="minorHAnsi"/>
              </w:rPr>
            </w:pPr>
            <w:r>
              <w:rPr>
                <w:rFonts w:eastAsia="Times New Roman" w:cstheme="minorHAnsi"/>
              </w:rPr>
              <w:t>1.069.562.744</w:t>
            </w:r>
          </w:p>
        </w:tc>
        <w:tc>
          <w:tcPr>
            <w:tcW w:w="1669" w:type="dxa"/>
            <w:noWrap/>
            <w:vAlign w:val="center"/>
            <w:hideMark/>
          </w:tcPr>
          <w:p w:rsidR="00076E84" w:rsidRPr="00D7552E" w:rsidRDefault="00076E84" w:rsidP="00CF6359">
            <w:pPr>
              <w:jc w:val="right"/>
              <w:rPr>
                <w:rFonts w:eastAsia="Times New Roman" w:cstheme="minorHAnsi"/>
              </w:rPr>
            </w:pPr>
            <w:r>
              <w:rPr>
                <w:rFonts w:eastAsia="Times New Roman" w:cstheme="minorHAnsi"/>
              </w:rPr>
              <w:t>1.087.032.814</w:t>
            </w:r>
          </w:p>
        </w:tc>
        <w:tc>
          <w:tcPr>
            <w:tcW w:w="973" w:type="dxa"/>
            <w:noWrap/>
            <w:vAlign w:val="center"/>
          </w:tcPr>
          <w:p w:rsidR="00076E84" w:rsidRPr="00D7552E" w:rsidRDefault="00076E84" w:rsidP="00CF6359">
            <w:pPr>
              <w:jc w:val="right"/>
              <w:rPr>
                <w:rFonts w:eastAsia="Times New Roman" w:cstheme="minorHAnsi"/>
              </w:rPr>
            </w:pPr>
            <w:r>
              <w:rPr>
                <w:rFonts w:eastAsia="Times New Roman" w:cstheme="minorHAnsi"/>
              </w:rPr>
              <w:t>101,6</w:t>
            </w:r>
          </w:p>
        </w:tc>
        <w:tc>
          <w:tcPr>
            <w:tcW w:w="1407" w:type="dxa"/>
            <w:noWrap/>
            <w:vAlign w:val="center"/>
          </w:tcPr>
          <w:p w:rsidR="00076E84" w:rsidRPr="00D7552E" w:rsidRDefault="00076E84" w:rsidP="00CF6359">
            <w:pPr>
              <w:jc w:val="right"/>
              <w:rPr>
                <w:rFonts w:eastAsia="Times New Roman" w:cstheme="minorHAnsi"/>
              </w:rPr>
            </w:pPr>
            <w:r>
              <w:rPr>
                <w:rFonts w:eastAsia="Times New Roman" w:cstheme="minorHAnsi"/>
              </w:rPr>
              <w:t>17.470.070</w:t>
            </w:r>
          </w:p>
        </w:tc>
      </w:tr>
    </w:tbl>
    <w:p w:rsidR="00076E84" w:rsidRDefault="00076E84" w:rsidP="00076E84">
      <w:pPr>
        <w:spacing w:after="0"/>
        <w:rPr>
          <w:rFonts w:eastAsia="Times New Roman" w:cstheme="minorHAnsi"/>
          <w:lang w:val="en-AU"/>
        </w:rPr>
      </w:pPr>
    </w:p>
    <w:p w:rsidR="00076E84" w:rsidRDefault="00076E84" w:rsidP="00076E84">
      <w:pPr>
        <w:jc w:val="both"/>
      </w:pPr>
      <w:r>
        <w:t xml:space="preserve">Stambeni objekti povećani su za </w:t>
      </w:r>
      <w:r>
        <w:rPr>
          <w:rFonts w:eastAsia="Times New Roman" w:cstheme="minorHAnsi"/>
        </w:rPr>
        <w:t xml:space="preserve">17.470.070 </w:t>
      </w:r>
      <w:r>
        <w:t>kn, odnosno za 1,6% u odnosu na prethodnu godinu. Vrijednost stambenih objekata povećana je najvećim dijelom zbog prijenosa 49 stanova izgrađene građevine u naselju Vrbani iz pripreme u upotrebu u iznosu od 22.276.290 kn i uknjiženjem 11 stanova u iznosu od 1.853.082 kn. Tijekom godine isknjižena su 22 prodana stana vrijednosti 6.659.302 kn.</w:t>
      </w:r>
    </w:p>
    <w:p w:rsidR="00076E84" w:rsidRDefault="00076E84" w:rsidP="00076E84">
      <w:r>
        <w:rPr>
          <w:b/>
        </w:rPr>
        <w:t>Bilješka br. 5</w:t>
      </w:r>
      <w:r>
        <w:t xml:space="preserve"> – AOP 010 </w:t>
      </w:r>
      <w:r w:rsidRPr="00184923">
        <w:t>Poslovni objekti</w:t>
      </w:r>
    </w:p>
    <w:tbl>
      <w:tblPr>
        <w:tblStyle w:val="TableGrid"/>
        <w:tblW w:w="0" w:type="auto"/>
        <w:tblLook w:val="04A0" w:firstRow="1" w:lastRow="0" w:firstColumn="1" w:lastColumn="0" w:noHBand="0" w:noVBand="1"/>
      </w:tblPr>
      <w:tblGrid>
        <w:gridCol w:w="817"/>
        <w:gridCol w:w="47"/>
        <w:gridCol w:w="2120"/>
        <w:gridCol w:w="12"/>
        <w:gridCol w:w="603"/>
        <w:gridCol w:w="1640"/>
        <w:gridCol w:w="1669"/>
        <w:gridCol w:w="973"/>
        <w:gridCol w:w="1407"/>
      </w:tblGrid>
      <w:tr w:rsidR="00076E84" w:rsidRPr="00774066" w:rsidTr="00CF6359">
        <w:trPr>
          <w:trHeight w:val="600"/>
        </w:trPr>
        <w:tc>
          <w:tcPr>
            <w:tcW w:w="864" w:type="dxa"/>
            <w:gridSpan w:val="2"/>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132" w:type="dxa"/>
            <w:gridSpan w:val="2"/>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gridSpan w:val="2"/>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132" w:type="dxa"/>
            <w:gridSpan w:val="2"/>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D7552E" w:rsidTr="00CF6359">
        <w:trPr>
          <w:trHeight w:val="300"/>
        </w:trPr>
        <w:tc>
          <w:tcPr>
            <w:tcW w:w="817" w:type="dxa"/>
            <w:noWrap/>
            <w:vAlign w:val="center"/>
            <w:hideMark/>
          </w:tcPr>
          <w:p w:rsidR="00076E84" w:rsidRPr="00D7552E" w:rsidRDefault="00076E84" w:rsidP="00CF6359">
            <w:pPr>
              <w:jc w:val="right"/>
              <w:rPr>
                <w:rFonts w:eastAsia="Times New Roman" w:cstheme="minorHAnsi"/>
              </w:rPr>
            </w:pPr>
            <w:r w:rsidRPr="00D7552E">
              <w:rPr>
                <w:rFonts w:eastAsia="Times New Roman" w:cstheme="minorHAnsi"/>
              </w:rPr>
              <w:t>0212</w:t>
            </w:r>
          </w:p>
        </w:tc>
        <w:tc>
          <w:tcPr>
            <w:tcW w:w="2167" w:type="dxa"/>
            <w:gridSpan w:val="2"/>
            <w:vAlign w:val="center"/>
            <w:hideMark/>
          </w:tcPr>
          <w:p w:rsidR="00076E84" w:rsidRPr="00D7552E" w:rsidRDefault="00076E84" w:rsidP="00CF6359">
            <w:pPr>
              <w:rPr>
                <w:rFonts w:eastAsia="Times New Roman" w:cstheme="minorHAnsi"/>
              </w:rPr>
            </w:pPr>
            <w:r w:rsidRPr="00D7552E">
              <w:rPr>
                <w:rFonts w:eastAsia="Times New Roman" w:cstheme="minorHAnsi"/>
              </w:rPr>
              <w:t>Poslovni objekti</w:t>
            </w:r>
          </w:p>
        </w:tc>
        <w:tc>
          <w:tcPr>
            <w:tcW w:w="615" w:type="dxa"/>
            <w:gridSpan w:val="2"/>
            <w:noWrap/>
            <w:vAlign w:val="center"/>
            <w:hideMark/>
          </w:tcPr>
          <w:p w:rsidR="00076E84" w:rsidRPr="00D7552E" w:rsidRDefault="00076E84" w:rsidP="00CF6359">
            <w:pPr>
              <w:jc w:val="right"/>
              <w:rPr>
                <w:rFonts w:eastAsia="Times New Roman" w:cstheme="minorHAnsi"/>
              </w:rPr>
            </w:pPr>
            <w:r>
              <w:rPr>
                <w:rFonts w:eastAsia="Times New Roman" w:cstheme="minorHAnsi"/>
              </w:rPr>
              <w:t>0</w:t>
            </w:r>
            <w:r w:rsidRPr="00D7552E">
              <w:rPr>
                <w:rFonts w:eastAsia="Times New Roman" w:cstheme="minorHAnsi"/>
              </w:rPr>
              <w:t>10</w:t>
            </w:r>
          </w:p>
        </w:tc>
        <w:tc>
          <w:tcPr>
            <w:tcW w:w="1640" w:type="dxa"/>
            <w:noWrap/>
            <w:vAlign w:val="center"/>
            <w:hideMark/>
          </w:tcPr>
          <w:p w:rsidR="00076E84" w:rsidRPr="00D7552E" w:rsidRDefault="00076E84" w:rsidP="00CF6359">
            <w:pPr>
              <w:jc w:val="right"/>
              <w:rPr>
                <w:rFonts w:eastAsia="Times New Roman" w:cstheme="minorHAnsi"/>
              </w:rPr>
            </w:pPr>
            <w:r w:rsidRPr="004B314F">
              <w:rPr>
                <w:rFonts w:eastAsia="Times New Roman" w:cstheme="minorHAnsi"/>
              </w:rPr>
              <w:t>3.862.723.838</w:t>
            </w:r>
          </w:p>
        </w:tc>
        <w:tc>
          <w:tcPr>
            <w:tcW w:w="1669" w:type="dxa"/>
            <w:noWrap/>
            <w:vAlign w:val="center"/>
            <w:hideMark/>
          </w:tcPr>
          <w:p w:rsidR="00076E84" w:rsidRPr="00D7552E" w:rsidRDefault="00076E84" w:rsidP="00CF6359">
            <w:pPr>
              <w:jc w:val="right"/>
              <w:rPr>
                <w:rFonts w:eastAsia="Times New Roman" w:cstheme="minorHAnsi"/>
              </w:rPr>
            </w:pPr>
            <w:r>
              <w:rPr>
                <w:rFonts w:eastAsia="Times New Roman" w:cstheme="minorHAnsi"/>
              </w:rPr>
              <w:t>4.443.671.473</w:t>
            </w:r>
          </w:p>
        </w:tc>
        <w:tc>
          <w:tcPr>
            <w:tcW w:w="973" w:type="dxa"/>
            <w:noWrap/>
            <w:vAlign w:val="center"/>
          </w:tcPr>
          <w:p w:rsidR="00076E84" w:rsidRPr="00D7552E" w:rsidRDefault="00076E84" w:rsidP="00CF6359">
            <w:pPr>
              <w:jc w:val="right"/>
              <w:rPr>
                <w:rFonts w:eastAsia="Times New Roman" w:cstheme="minorHAnsi"/>
              </w:rPr>
            </w:pPr>
            <w:r>
              <w:rPr>
                <w:rFonts w:eastAsia="Times New Roman" w:cstheme="minorHAnsi"/>
              </w:rPr>
              <w:t>115,0</w:t>
            </w:r>
          </w:p>
        </w:tc>
        <w:tc>
          <w:tcPr>
            <w:tcW w:w="1407" w:type="dxa"/>
            <w:noWrap/>
            <w:vAlign w:val="center"/>
          </w:tcPr>
          <w:p w:rsidR="00076E84" w:rsidRPr="00D7552E" w:rsidRDefault="00076E84" w:rsidP="00CF6359">
            <w:pPr>
              <w:jc w:val="right"/>
              <w:rPr>
                <w:rFonts w:eastAsia="Times New Roman" w:cstheme="minorHAnsi"/>
              </w:rPr>
            </w:pPr>
            <w:r>
              <w:rPr>
                <w:rFonts w:eastAsia="Times New Roman" w:cstheme="minorHAnsi"/>
              </w:rPr>
              <w:t>580.947.635</w:t>
            </w:r>
          </w:p>
        </w:tc>
      </w:tr>
    </w:tbl>
    <w:p w:rsidR="00076E84" w:rsidRDefault="00076E84" w:rsidP="00076E84">
      <w:pPr>
        <w:spacing w:after="0"/>
        <w:rPr>
          <w:rFonts w:eastAsia="Times New Roman" w:cstheme="minorHAnsi"/>
          <w:lang w:val="en-AU"/>
        </w:rPr>
      </w:pPr>
    </w:p>
    <w:p w:rsidR="00076E84" w:rsidRDefault="00076E84" w:rsidP="00076E84">
      <w:pPr>
        <w:jc w:val="both"/>
      </w:pPr>
      <w:r>
        <w:t xml:space="preserve">Poslovni objekti povećani su za </w:t>
      </w:r>
      <w:r>
        <w:rPr>
          <w:rFonts w:eastAsia="Times New Roman" w:cstheme="minorHAnsi"/>
        </w:rPr>
        <w:t xml:space="preserve">580.947.635 </w:t>
      </w:r>
      <w:r>
        <w:t xml:space="preserve">kn, odnosno za 15% u odnosu na prethodnu godinu. Vrijednost poslovnih objekata povećana je prvenstveno zbog prijenosa ulaganja i završenih objekata prethodnih godina  s računa pripreme na račun imovine u iznosu od </w:t>
      </w:r>
      <w:r w:rsidRPr="00AD58A2">
        <w:t>446.300.124 kn, knjigovodstveno usklađenje vrijednosti 81 objekta koje koristi mjesna samouprava u iznosu od 119.940.142 kn (na temelju aproksimativne usporedne metode od strane Internog procjeniteljskog povjerenstva),  uknjiženja 2 poslovna prostora po provedenom popisu u iznosu od 2.546.454 kn,  uknjiženja 8 objekata procijenjene vrijednosti 8.773.832 kn, poslovne prostore stečene kupoprodajom u vrijednosti od 46.054.444 kn, i za 2.984.845 kn ulaganja kojima se teretilo redovno poslovanje, a odnose se na  dodatna ulaganja na imovinu te na dodatna ulaganja, preknjiženja s drugih računa</w:t>
      </w:r>
      <w:r>
        <w:t xml:space="preserve"> imovine i troškove legalizacije objekata u vlasništvu Grada u iznosu od 4.084.234 kn. Smanjenje se odnosi na isknjiženu vrijednost dva prodana poslovna prostora, stana i zgrade u vrijednosti od 39.478.616 kn, na prijenos proračunskom korisniku Grada u iznosu od 6.939.384 kn, zatim na isknjiženje u iznosu 2.660.329 kn po obavljenom popisu i preknjiženja na druge odjeljke računa imovine u iznosu 658.111 kn.</w:t>
      </w:r>
    </w:p>
    <w:p w:rsidR="00076E84" w:rsidRDefault="00076E84" w:rsidP="00076E84">
      <w:r>
        <w:rPr>
          <w:b/>
        </w:rPr>
        <w:t>Bilješka br. 6</w:t>
      </w:r>
      <w:r>
        <w:t xml:space="preserve"> – AOP 012 Ostali građevinski objekti</w:t>
      </w:r>
    </w:p>
    <w:tbl>
      <w:tblPr>
        <w:tblStyle w:val="TableGrid"/>
        <w:tblW w:w="0" w:type="auto"/>
        <w:tblLook w:val="04A0" w:firstRow="1" w:lastRow="0" w:firstColumn="1" w:lastColumn="0" w:noHBand="0" w:noVBand="1"/>
      </w:tblPr>
      <w:tblGrid>
        <w:gridCol w:w="864"/>
        <w:gridCol w:w="1894"/>
        <w:gridCol w:w="12"/>
        <w:gridCol w:w="603"/>
        <w:gridCol w:w="1640"/>
        <w:gridCol w:w="1669"/>
        <w:gridCol w:w="973"/>
        <w:gridCol w:w="1407"/>
      </w:tblGrid>
      <w:tr w:rsidR="00076E84" w:rsidRPr="00774066" w:rsidTr="00CF6359">
        <w:trPr>
          <w:trHeight w:val="600"/>
        </w:trPr>
        <w:tc>
          <w:tcPr>
            <w:tcW w:w="864"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1906" w:type="dxa"/>
            <w:gridSpan w:val="2"/>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1906" w:type="dxa"/>
            <w:gridSpan w:val="2"/>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D7552E" w:rsidTr="00CF6359">
        <w:trPr>
          <w:trHeight w:val="300"/>
        </w:trPr>
        <w:tc>
          <w:tcPr>
            <w:tcW w:w="864" w:type="dxa"/>
            <w:noWrap/>
            <w:vAlign w:val="center"/>
            <w:hideMark/>
          </w:tcPr>
          <w:p w:rsidR="00076E84" w:rsidRPr="00D7552E" w:rsidRDefault="00076E84" w:rsidP="00CF6359">
            <w:pPr>
              <w:jc w:val="right"/>
              <w:rPr>
                <w:rFonts w:eastAsia="Times New Roman" w:cstheme="minorHAnsi"/>
              </w:rPr>
            </w:pPr>
            <w:r w:rsidRPr="00D7552E">
              <w:rPr>
                <w:rFonts w:eastAsia="Times New Roman" w:cstheme="minorHAnsi"/>
              </w:rPr>
              <w:t>021</w:t>
            </w:r>
            <w:r>
              <w:rPr>
                <w:rFonts w:eastAsia="Times New Roman" w:cstheme="minorHAnsi"/>
              </w:rPr>
              <w:t>4</w:t>
            </w:r>
          </w:p>
        </w:tc>
        <w:tc>
          <w:tcPr>
            <w:tcW w:w="1894" w:type="dxa"/>
            <w:vAlign w:val="center"/>
            <w:hideMark/>
          </w:tcPr>
          <w:p w:rsidR="00076E84" w:rsidRPr="00D7552E" w:rsidRDefault="00076E84" w:rsidP="00CF6359">
            <w:pPr>
              <w:rPr>
                <w:rFonts w:eastAsia="Times New Roman" w:cstheme="minorHAnsi"/>
              </w:rPr>
            </w:pPr>
            <w:r w:rsidRPr="00801F28">
              <w:rPr>
                <w:rFonts w:eastAsia="Times New Roman" w:cstheme="minorHAnsi"/>
              </w:rPr>
              <w:t>Ostali građevinski objekti</w:t>
            </w:r>
          </w:p>
        </w:tc>
        <w:tc>
          <w:tcPr>
            <w:tcW w:w="615" w:type="dxa"/>
            <w:gridSpan w:val="2"/>
            <w:noWrap/>
            <w:vAlign w:val="center"/>
            <w:hideMark/>
          </w:tcPr>
          <w:p w:rsidR="00076E84" w:rsidRPr="00D7552E" w:rsidRDefault="00076E84" w:rsidP="00CF6359">
            <w:pPr>
              <w:jc w:val="right"/>
              <w:rPr>
                <w:rFonts w:eastAsia="Times New Roman" w:cstheme="minorHAnsi"/>
              </w:rPr>
            </w:pPr>
            <w:r>
              <w:rPr>
                <w:rFonts w:eastAsia="Times New Roman" w:cstheme="minorHAnsi"/>
              </w:rPr>
              <w:t>0</w:t>
            </w:r>
            <w:r w:rsidRPr="00D7552E">
              <w:rPr>
                <w:rFonts w:eastAsia="Times New Roman" w:cstheme="minorHAnsi"/>
              </w:rPr>
              <w:t>1</w:t>
            </w:r>
            <w:r>
              <w:rPr>
                <w:rFonts w:eastAsia="Times New Roman" w:cstheme="minorHAnsi"/>
              </w:rPr>
              <w:t>2</w:t>
            </w:r>
          </w:p>
        </w:tc>
        <w:tc>
          <w:tcPr>
            <w:tcW w:w="1640" w:type="dxa"/>
            <w:noWrap/>
            <w:vAlign w:val="center"/>
            <w:hideMark/>
          </w:tcPr>
          <w:p w:rsidR="00076E84" w:rsidRPr="00D7552E" w:rsidRDefault="00076E84" w:rsidP="00CF6359">
            <w:pPr>
              <w:jc w:val="right"/>
              <w:rPr>
                <w:rFonts w:eastAsia="Times New Roman" w:cstheme="minorHAnsi"/>
              </w:rPr>
            </w:pPr>
            <w:r>
              <w:rPr>
                <w:rFonts w:eastAsia="Times New Roman" w:cstheme="minorHAnsi"/>
              </w:rPr>
              <w:t>89.641.429</w:t>
            </w:r>
          </w:p>
        </w:tc>
        <w:tc>
          <w:tcPr>
            <w:tcW w:w="1669" w:type="dxa"/>
            <w:noWrap/>
            <w:vAlign w:val="center"/>
            <w:hideMark/>
          </w:tcPr>
          <w:p w:rsidR="00076E84" w:rsidRPr="00D7552E" w:rsidRDefault="00076E84" w:rsidP="00CF6359">
            <w:pPr>
              <w:jc w:val="right"/>
              <w:rPr>
                <w:rFonts w:eastAsia="Times New Roman" w:cstheme="minorHAnsi"/>
              </w:rPr>
            </w:pPr>
            <w:r>
              <w:rPr>
                <w:rFonts w:eastAsia="Times New Roman" w:cstheme="minorHAnsi"/>
              </w:rPr>
              <w:t>229.185.064</w:t>
            </w:r>
          </w:p>
        </w:tc>
        <w:tc>
          <w:tcPr>
            <w:tcW w:w="973" w:type="dxa"/>
            <w:noWrap/>
            <w:vAlign w:val="center"/>
          </w:tcPr>
          <w:p w:rsidR="00076E84" w:rsidRPr="00D7552E" w:rsidRDefault="00076E84" w:rsidP="00CF6359">
            <w:pPr>
              <w:jc w:val="right"/>
              <w:rPr>
                <w:rFonts w:eastAsia="Times New Roman" w:cstheme="minorHAnsi"/>
              </w:rPr>
            </w:pPr>
            <w:r>
              <w:rPr>
                <w:rFonts w:eastAsia="Times New Roman" w:cstheme="minorHAnsi"/>
              </w:rPr>
              <w:t>255,7</w:t>
            </w:r>
          </w:p>
        </w:tc>
        <w:tc>
          <w:tcPr>
            <w:tcW w:w="1407" w:type="dxa"/>
            <w:noWrap/>
            <w:vAlign w:val="center"/>
          </w:tcPr>
          <w:p w:rsidR="00076E84" w:rsidRPr="00D7552E" w:rsidRDefault="00076E84" w:rsidP="00CF6359">
            <w:pPr>
              <w:jc w:val="right"/>
              <w:rPr>
                <w:rFonts w:eastAsia="Times New Roman" w:cstheme="minorHAnsi"/>
              </w:rPr>
            </w:pPr>
            <w:r>
              <w:rPr>
                <w:rFonts w:eastAsia="Times New Roman" w:cstheme="minorHAnsi"/>
              </w:rPr>
              <w:t>139.543.635</w:t>
            </w:r>
          </w:p>
        </w:tc>
      </w:tr>
    </w:tbl>
    <w:p w:rsidR="00076E84" w:rsidRDefault="00076E84" w:rsidP="00076E84">
      <w:pPr>
        <w:spacing w:after="0"/>
        <w:rPr>
          <w:rFonts w:eastAsia="Times New Roman" w:cstheme="minorHAnsi"/>
          <w:lang w:val="en-AU"/>
        </w:rPr>
      </w:pPr>
    </w:p>
    <w:p w:rsidR="00076E84" w:rsidRDefault="00076E84" w:rsidP="00076E84">
      <w:pPr>
        <w:jc w:val="both"/>
      </w:pPr>
      <w:r>
        <w:t xml:space="preserve">Povećanje u iznosu od 139.543.635 kn odnosi se najvećim dijelom na prijenos ulaganja iz pripreme na račun imovine za ulaganja u 16 sportskih objekata u vlasništvu Grada, a koji su dovršeni ranijih godina i u upotrebi (139.116.033 kn), a ostalo na preknjiženja s drugih skupina računa imovine. </w:t>
      </w:r>
    </w:p>
    <w:p w:rsidR="00076E84" w:rsidRDefault="00076E84" w:rsidP="00076E84">
      <w:r w:rsidRPr="00D61E11">
        <w:rPr>
          <w:b/>
        </w:rPr>
        <w:t xml:space="preserve">Bilješka br. </w:t>
      </w:r>
      <w:r>
        <w:rPr>
          <w:b/>
        </w:rPr>
        <w:t>7</w:t>
      </w:r>
      <w:r>
        <w:t xml:space="preserve"> – AOP 013 </w:t>
      </w:r>
      <w:r w:rsidRPr="00D7552E">
        <w:rPr>
          <w:rFonts w:eastAsia="Times New Roman" w:cstheme="minorHAnsi"/>
        </w:rPr>
        <w:t>Ispravak vrijednosti građevinskih</w:t>
      </w:r>
      <w:r>
        <w:rPr>
          <w:rFonts w:eastAsia="Times New Roman" w:cstheme="minorHAnsi"/>
        </w:rPr>
        <w:t xml:space="preserve"> objekata</w:t>
      </w:r>
    </w:p>
    <w:tbl>
      <w:tblPr>
        <w:tblStyle w:val="TableGrid"/>
        <w:tblW w:w="0" w:type="auto"/>
        <w:tblLook w:val="04A0" w:firstRow="1" w:lastRow="0" w:firstColumn="1" w:lastColumn="0" w:noHBand="0" w:noVBand="1"/>
      </w:tblPr>
      <w:tblGrid>
        <w:gridCol w:w="817"/>
        <w:gridCol w:w="47"/>
        <w:gridCol w:w="2120"/>
        <w:gridCol w:w="12"/>
        <w:gridCol w:w="603"/>
        <w:gridCol w:w="1640"/>
        <w:gridCol w:w="1669"/>
        <w:gridCol w:w="973"/>
        <w:gridCol w:w="1407"/>
      </w:tblGrid>
      <w:tr w:rsidR="00076E84" w:rsidRPr="00774066" w:rsidTr="00CF6359">
        <w:trPr>
          <w:trHeight w:val="600"/>
        </w:trPr>
        <w:tc>
          <w:tcPr>
            <w:tcW w:w="864" w:type="dxa"/>
            <w:gridSpan w:val="2"/>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lastRenderedPageBreak/>
              <w:t>RAČUN</w:t>
            </w:r>
          </w:p>
        </w:tc>
        <w:tc>
          <w:tcPr>
            <w:tcW w:w="2132" w:type="dxa"/>
            <w:gridSpan w:val="2"/>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gridSpan w:val="2"/>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132" w:type="dxa"/>
            <w:gridSpan w:val="2"/>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D7552E" w:rsidTr="00CF6359">
        <w:trPr>
          <w:trHeight w:val="300"/>
        </w:trPr>
        <w:tc>
          <w:tcPr>
            <w:tcW w:w="817" w:type="dxa"/>
            <w:noWrap/>
            <w:vAlign w:val="center"/>
            <w:hideMark/>
          </w:tcPr>
          <w:p w:rsidR="00076E84" w:rsidRPr="00D7552E" w:rsidRDefault="00076E84" w:rsidP="00CF6359">
            <w:pPr>
              <w:jc w:val="right"/>
              <w:rPr>
                <w:rFonts w:eastAsia="Times New Roman" w:cstheme="minorHAnsi"/>
              </w:rPr>
            </w:pPr>
            <w:r w:rsidRPr="00D7552E">
              <w:rPr>
                <w:rFonts w:eastAsia="Times New Roman" w:cstheme="minorHAnsi"/>
              </w:rPr>
              <w:t>02921</w:t>
            </w:r>
          </w:p>
        </w:tc>
        <w:tc>
          <w:tcPr>
            <w:tcW w:w="2167" w:type="dxa"/>
            <w:gridSpan w:val="2"/>
            <w:vAlign w:val="center"/>
            <w:hideMark/>
          </w:tcPr>
          <w:p w:rsidR="00076E84" w:rsidRPr="00D7552E" w:rsidRDefault="00076E84" w:rsidP="00CF6359">
            <w:pPr>
              <w:rPr>
                <w:rFonts w:eastAsia="Times New Roman" w:cstheme="minorHAnsi"/>
              </w:rPr>
            </w:pPr>
            <w:r w:rsidRPr="00D7552E">
              <w:rPr>
                <w:rFonts w:eastAsia="Times New Roman" w:cstheme="minorHAnsi"/>
              </w:rPr>
              <w:t xml:space="preserve">Ispravak vrijednosti građevinskih </w:t>
            </w:r>
            <w:r>
              <w:rPr>
                <w:rFonts w:eastAsia="Times New Roman" w:cstheme="minorHAnsi"/>
              </w:rPr>
              <w:t>o</w:t>
            </w:r>
            <w:r w:rsidRPr="00D7552E">
              <w:rPr>
                <w:rFonts w:eastAsia="Times New Roman" w:cstheme="minorHAnsi"/>
              </w:rPr>
              <w:t>bjekata</w:t>
            </w:r>
          </w:p>
        </w:tc>
        <w:tc>
          <w:tcPr>
            <w:tcW w:w="615" w:type="dxa"/>
            <w:gridSpan w:val="2"/>
            <w:noWrap/>
            <w:vAlign w:val="center"/>
            <w:hideMark/>
          </w:tcPr>
          <w:p w:rsidR="00076E84" w:rsidRPr="00D7552E" w:rsidRDefault="00076E84" w:rsidP="00CF6359">
            <w:pPr>
              <w:jc w:val="right"/>
              <w:rPr>
                <w:rFonts w:eastAsia="Times New Roman" w:cstheme="minorHAnsi"/>
              </w:rPr>
            </w:pPr>
            <w:r>
              <w:rPr>
                <w:rFonts w:eastAsia="Times New Roman" w:cstheme="minorHAnsi"/>
              </w:rPr>
              <w:t>0</w:t>
            </w:r>
            <w:r w:rsidRPr="00D7552E">
              <w:rPr>
                <w:rFonts w:eastAsia="Times New Roman" w:cstheme="minorHAnsi"/>
              </w:rPr>
              <w:t>13</w:t>
            </w:r>
          </w:p>
        </w:tc>
        <w:tc>
          <w:tcPr>
            <w:tcW w:w="1640" w:type="dxa"/>
            <w:noWrap/>
            <w:vAlign w:val="center"/>
            <w:hideMark/>
          </w:tcPr>
          <w:p w:rsidR="00076E84" w:rsidRPr="00D7552E" w:rsidRDefault="00076E84" w:rsidP="00CF6359">
            <w:pPr>
              <w:jc w:val="right"/>
              <w:rPr>
                <w:rFonts w:eastAsia="Times New Roman" w:cstheme="minorHAnsi"/>
              </w:rPr>
            </w:pPr>
            <w:r w:rsidRPr="004B314F">
              <w:rPr>
                <w:rFonts w:eastAsia="Times New Roman" w:cstheme="minorHAnsi"/>
              </w:rPr>
              <w:t>1.159.072.367</w:t>
            </w:r>
          </w:p>
        </w:tc>
        <w:tc>
          <w:tcPr>
            <w:tcW w:w="1669" w:type="dxa"/>
            <w:noWrap/>
            <w:vAlign w:val="center"/>
            <w:hideMark/>
          </w:tcPr>
          <w:p w:rsidR="00076E84" w:rsidRPr="00D7552E" w:rsidRDefault="00076E84" w:rsidP="00CF6359">
            <w:pPr>
              <w:jc w:val="right"/>
              <w:rPr>
                <w:rFonts w:eastAsia="Times New Roman" w:cstheme="minorHAnsi"/>
              </w:rPr>
            </w:pPr>
            <w:r>
              <w:rPr>
                <w:rFonts w:eastAsia="Times New Roman" w:cstheme="minorHAnsi"/>
              </w:rPr>
              <w:t>1.330.548.519</w:t>
            </w:r>
          </w:p>
        </w:tc>
        <w:tc>
          <w:tcPr>
            <w:tcW w:w="973" w:type="dxa"/>
            <w:noWrap/>
            <w:vAlign w:val="center"/>
          </w:tcPr>
          <w:p w:rsidR="00076E84" w:rsidRPr="00D7552E" w:rsidRDefault="00076E84" w:rsidP="00CF6359">
            <w:pPr>
              <w:jc w:val="right"/>
              <w:rPr>
                <w:rFonts w:eastAsia="Times New Roman" w:cstheme="minorHAnsi"/>
              </w:rPr>
            </w:pPr>
            <w:r>
              <w:rPr>
                <w:rFonts w:eastAsia="Times New Roman" w:cstheme="minorHAnsi"/>
              </w:rPr>
              <w:t>114,8</w:t>
            </w:r>
          </w:p>
        </w:tc>
        <w:tc>
          <w:tcPr>
            <w:tcW w:w="1407" w:type="dxa"/>
            <w:noWrap/>
            <w:vAlign w:val="center"/>
          </w:tcPr>
          <w:p w:rsidR="00076E84" w:rsidRPr="00D7552E" w:rsidRDefault="00076E84" w:rsidP="00CF6359">
            <w:pPr>
              <w:jc w:val="right"/>
              <w:rPr>
                <w:rFonts w:eastAsia="Times New Roman" w:cstheme="minorHAnsi"/>
              </w:rPr>
            </w:pPr>
            <w:r>
              <w:rPr>
                <w:rFonts w:eastAsia="Times New Roman" w:cstheme="minorHAnsi"/>
              </w:rPr>
              <w:t>171.476.152</w:t>
            </w:r>
          </w:p>
        </w:tc>
      </w:tr>
    </w:tbl>
    <w:p w:rsidR="00076E84" w:rsidRDefault="00076E84" w:rsidP="00076E84">
      <w:pPr>
        <w:spacing w:after="0"/>
      </w:pPr>
    </w:p>
    <w:p w:rsidR="00076E84" w:rsidRDefault="00076E84" w:rsidP="00076E84">
      <w:pPr>
        <w:jc w:val="both"/>
      </w:pPr>
      <w:r>
        <w:t xml:space="preserve">Ispravak vrijednosti  građevinskih objekata povećan je iz razloga obračuna ispravka vrijednosti  imovine za tekuću godinu i obračuna ispravka vrijednosti za prethodne godine, imovine koja je s računa u pripremi prebačena na račun imovine. </w:t>
      </w:r>
    </w:p>
    <w:p w:rsidR="00076E84" w:rsidRDefault="00076E84" w:rsidP="00076E84">
      <w:pPr>
        <w:jc w:val="both"/>
      </w:pPr>
      <w:r w:rsidRPr="006C0182">
        <w:rPr>
          <w:b/>
        </w:rPr>
        <w:t xml:space="preserve">Bilješka br. </w:t>
      </w:r>
      <w:r>
        <w:rPr>
          <w:b/>
        </w:rPr>
        <w:t>8</w:t>
      </w:r>
      <w:r>
        <w:t xml:space="preserve"> – AOP 0014 Postrojenja i oprema</w:t>
      </w:r>
    </w:p>
    <w:tbl>
      <w:tblPr>
        <w:tblStyle w:val="TableGrid"/>
        <w:tblW w:w="0" w:type="auto"/>
        <w:tblLook w:val="04A0" w:firstRow="1" w:lastRow="0" w:firstColumn="1" w:lastColumn="0" w:noHBand="0" w:noVBand="1"/>
      </w:tblPr>
      <w:tblGrid>
        <w:gridCol w:w="817"/>
        <w:gridCol w:w="47"/>
        <w:gridCol w:w="2120"/>
        <w:gridCol w:w="12"/>
        <w:gridCol w:w="603"/>
        <w:gridCol w:w="1640"/>
        <w:gridCol w:w="1669"/>
        <w:gridCol w:w="973"/>
        <w:gridCol w:w="1407"/>
      </w:tblGrid>
      <w:tr w:rsidR="00076E84" w:rsidRPr="00774066" w:rsidTr="00CF6359">
        <w:trPr>
          <w:trHeight w:val="600"/>
        </w:trPr>
        <w:tc>
          <w:tcPr>
            <w:tcW w:w="864" w:type="dxa"/>
            <w:gridSpan w:val="2"/>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132" w:type="dxa"/>
            <w:gridSpan w:val="2"/>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gridSpan w:val="2"/>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132" w:type="dxa"/>
            <w:gridSpan w:val="2"/>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D7552E" w:rsidTr="00CF6359">
        <w:trPr>
          <w:trHeight w:val="300"/>
        </w:trPr>
        <w:tc>
          <w:tcPr>
            <w:tcW w:w="817" w:type="dxa"/>
            <w:noWrap/>
            <w:vAlign w:val="center"/>
            <w:hideMark/>
          </w:tcPr>
          <w:p w:rsidR="00076E84" w:rsidRPr="00D61E11" w:rsidRDefault="00076E84" w:rsidP="00CF6359">
            <w:pPr>
              <w:jc w:val="right"/>
              <w:rPr>
                <w:rFonts w:eastAsia="Times New Roman" w:cstheme="minorHAnsi"/>
                <w:bCs/>
              </w:rPr>
            </w:pPr>
            <w:r w:rsidRPr="00D61E11">
              <w:rPr>
                <w:rFonts w:eastAsia="Times New Roman" w:cstheme="minorHAnsi"/>
                <w:bCs/>
              </w:rPr>
              <w:t>02</w:t>
            </w:r>
            <w:r>
              <w:rPr>
                <w:rFonts w:eastAsia="Times New Roman" w:cstheme="minorHAnsi"/>
                <w:bCs/>
              </w:rPr>
              <w:t>2</w:t>
            </w:r>
            <w:r w:rsidRPr="00D61E11">
              <w:rPr>
                <w:rFonts w:eastAsia="Times New Roman" w:cstheme="minorHAnsi"/>
                <w:bCs/>
              </w:rPr>
              <w:t xml:space="preserve"> i 0292</w:t>
            </w:r>
            <w:r>
              <w:rPr>
                <w:rFonts w:eastAsia="Times New Roman" w:cstheme="minorHAnsi"/>
                <w:bCs/>
              </w:rPr>
              <w:t>2</w:t>
            </w:r>
          </w:p>
        </w:tc>
        <w:tc>
          <w:tcPr>
            <w:tcW w:w="2167" w:type="dxa"/>
            <w:gridSpan w:val="2"/>
            <w:vAlign w:val="center"/>
            <w:hideMark/>
          </w:tcPr>
          <w:p w:rsidR="00076E84" w:rsidRPr="00D61E11" w:rsidRDefault="00076E84" w:rsidP="00CF6359">
            <w:pPr>
              <w:rPr>
                <w:rFonts w:eastAsia="Times New Roman" w:cstheme="minorHAnsi"/>
                <w:bCs/>
              </w:rPr>
            </w:pPr>
            <w:r>
              <w:rPr>
                <w:rFonts w:eastAsia="Times New Roman" w:cstheme="minorHAnsi"/>
                <w:bCs/>
              </w:rPr>
              <w:t>Postrojenja i oprema</w:t>
            </w:r>
            <w:r w:rsidRPr="00D61E11">
              <w:rPr>
                <w:rFonts w:eastAsia="Times New Roman" w:cstheme="minorHAnsi"/>
                <w:bCs/>
              </w:rPr>
              <w:t xml:space="preserve"> </w:t>
            </w:r>
          </w:p>
        </w:tc>
        <w:tc>
          <w:tcPr>
            <w:tcW w:w="615" w:type="dxa"/>
            <w:gridSpan w:val="2"/>
            <w:noWrap/>
            <w:vAlign w:val="center"/>
            <w:hideMark/>
          </w:tcPr>
          <w:p w:rsidR="00076E84" w:rsidRPr="00D61E11" w:rsidRDefault="00076E84" w:rsidP="00CF6359">
            <w:pPr>
              <w:jc w:val="right"/>
              <w:rPr>
                <w:rFonts w:eastAsia="Times New Roman" w:cstheme="minorHAnsi"/>
                <w:bCs/>
              </w:rPr>
            </w:pPr>
            <w:r w:rsidRPr="00D61E11">
              <w:rPr>
                <w:rFonts w:eastAsia="Times New Roman" w:cstheme="minorHAnsi"/>
                <w:bCs/>
              </w:rPr>
              <w:t>0</w:t>
            </w:r>
            <w:r>
              <w:rPr>
                <w:rFonts w:eastAsia="Times New Roman" w:cstheme="minorHAnsi"/>
                <w:bCs/>
              </w:rPr>
              <w:t>1</w:t>
            </w:r>
            <w:r w:rsidRPr="00D61E11">
              <w:rPr>
                <w:rFonts w:eastAsia="Times New Roman" w:cstheme="minorHAnsi"/>
                <w:bCs/>
              </w:rPr>
              <w:t>4</w:t>
            </w:r>
          </w:p>
        </w:tc>
        <w:tc>
          <w:tcPr>
            <w:tcW w:w="1640" w:type="dxa"/>
            <w:noWrap/>
            <w:vAlign w:val="center"/>
            <w:hideMark/>
          </w:tcPr>
          <w:p w:rsidR="00076E84" w:rsidRPr="00D61E11" w:rsidRDefault="00076E84" w:rsidP="00CF6359">
            <w:pPr>
              <w:jc w:val="right"/>
              <w:rPr>
                <w:rFonts w:eastAsia="Times New Roman" w:cstheme="minorHAnsi"/>
                <w:bCs/>
              </w:rPr>
            </w:pPr>
            <w:r w:rsidRPr="004B314F">
              <w:rPr>
                <w:rFonts w:eastAsia="Times New Roman" w:cstheme="minorHAnsi"/>
                <w:bCs/>
              </w:rPr>
              <w:t>39.754.758</w:t>
            </w:r>
          </w:p>
        </w:tc>
        <w:tc>
          <w:tcPr>
            <w:tcW w:w="1669" w:type="dxa"/>
            <w:noWrap/>
            <w:vAlign w:val="center"/>
          </w:tcPr>
          <w:p w:rsidR="00076E84" w:rsidRPr="00D61E11" w:rsidRDefault="00076E84" w:rsidP="00CF6359">
            <w:pPr>
              <w:jc w:val="right"/>
              <w:rPr>
                <w:rFonts w:eastAsia="Times New Roman" w:cstheme="minorHAnsi"/>
                <w:bCs/>
              </w:rPr>
            </w:pPr>
            <w:r>
              <w:rPr>
                <w:rFonts w:eastAsia="Times New Roman" w:cstheme="minorHAnsi"/>
                <w:bCs/>
              </w:rPr>
              <w:t>41.741.007</w:t>
            </w:r>
          </w:p>
        </w:tc>
        <w:tc>
          <w:tcPr>
            <w:tcW w:w="973" w:type="dxa"/>
            <w:noWrap/>
            <w:vAlign w:val="center"/>
          </w:tcPr>
          <w:p w:rsidR="00076E84" w:rsidRPr="00D61E11" w:rsidRDefault="00076E84" w:rsidP="00CF6359">
            <w:pPr>
              <w:jc w:val="right"/>
              <w:rPr>
                <w:rFonts w:eastAsia="Times New Roman" w:cstheme="minorHAnsi"/>
                <w:bCs/>
              </w:rPr>
            </w:pPr>
            <w:r>
              <w:rPr>
                <w:rFonts w:eastAsia="Times New Roman" w:cstheme="minorHAnsi"/>
                <w:bCs/>
              </w:rPr>
              <w:t>105,0</w:t>
            </w:r>
          </w:p>
        </w:tc>
        <w:tc>
          <w:tcPr>
            <w:tcW w:w="1407" w:type="dxa"/>
            <w:noWrap/>
            <w:vAlign w:val="center"/>
          </w:tcPr>
          <w:p w:rsidR="00076E84" w:rsidRPr="00D61E11" w:rsidRDefault="00076E84" w:rsidP="00CF6359">
            <w:pPr>
              <w:jc w:val="right"/>
              <w:rPr>
                <w:rFonts w:eastAsia="Times New Roman" w:cstheme="minorHAnsi"/>
                <w:bCs/>
              </w:rPr>
            </w:pPr>
            <w:r>
              <w:rPr>
                <w:rFonts w:eastAsia="Times New Roman" w:cstheme="minorHAnsi"/>
                <w:bCs/>
              </w:rPr>
              <w:t>1.986.249</w:t>
            </w:r>
          </w:p>
        </w:tc>
      </w:tr>
    </w:tbl>
    <w:p w:rsidR="00076E84" w:rsidRDefault="00076E84" w:rsidP="00076E84">
      <w:pPr>
        <w:spacing w:after="0"/>
      </w:pPr>
    </w:p>
    <w:p w:rsidR="00076E84" w:rsidRDefault="00076E84" w:rsidP="00076E84">
      <w:pPr>
        <w:jc w:val="both"/>
      </w:pPr>
      <w:r>
        <w:t xml:space="preserve">Najvećim dijelom povećanje se odnosi na novu informatičku opremu u iznosu od 10.340.108 </w:t>
      </w:r>
      <w:r>
        <w:rPr>
          <w:rFonts w:cstheme="minorHAnsi"/>
        </w:rPr>
        <w:t xml:space="preserve">kn, </w:t>
      </w:r>
      <w:r>
        <w:t>na nabavljen uredski namještaj i ostalu uredsku opremu vrijednosti 3.290.862 kn, komunikacijsku opremu vrijednosti 1.458.320 kn, opremu za održavanje i zaštitu vrijednosti 1.631.256 kn, instrumente i uređaje vrijednosti 271.790 kn te sportsku opremu vrijednosti 7.601.727 kn i ostalu opremu 367.116 kn. Zatim  na evidentiran višak po popisu od 239.314 kn i 1.485 kn povećanja obujma imovine sa računa redovnog poslovanja. Isknjižena je rashodovana imovina koja je trajno neupotrebljiva i 99,7% otpisana prema obavljenom popisu i donesenim zaključcima tijekom godine nabavne vrijednosti 8.800.826 kn (ispravka vrijednosti 8.773.339 kn) te oprema prenesena proračunskim korisnicima u vrijednosti 6.656.496 kn.</w:t>
      </w:r>
    </w:p>
    <w:p w:rsidR="00076E84" w:rsidRDefault="00076E84" w:rsidP="00076E84">
      <w:r w:rsidRPr="00D61E11">
        <w:rPr>
          <w:b/>
        </w:rPr>
        <w:t xml:space="preserve">Bilješka br. </w:t>
      </w:r>
      <w:r>
        <w:rPr>
          <w:b/>
        </w:rPr>
        <w:t>9</w:t>
      </w:r>
      <w:r>
        <w:t xml:space="preserve"> – AOP 051 DUGOTRAJNA NEFINANCIJSKA IMOVINA U PRIPREMI</w:t>
      </w:r>
    </w:p>
    <w:tbl>
      <w:tblPr>
        <w:tblStyle w:val="TableGrid"/>
        <w:tblW w:w="0" w:type="auto"/>
        <w:tblLook w:val="04A0" w:firstRow="1" w:lastRow="0" w:firstColumn="1" w:lastColumn="0" w:noHBand="0" w:noVBand="1"/>
      </w:tblPr>
      <w:tblGrid>
        <w:gridCol w:w="864"/>
        <w:gridCol w:w="1906"/>
        <w:gridCol w:w="603"/>
        <w:gridCol w:w="1640"/>
        <w:gridCol w:w="1669"/>
        <w:gridCol w:w="973"/>
        <w:gridCol w:w="1407"/>
      </w:tblGrid>
      <w:tr w:rsidR="00076E84" w:rsidRPr="00774066" w:rsidTr="00CF6359">
        <w:trPr>
          <w:trHeight w:val="600"/>
        </w:trPr>
        <w:tc>
          <w:tcPr>
            <w:tcW w:w="864"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1906" w:type="dxa"/>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Default="00076E84" w:rsidP="00CF6359">
            <w:pPr>
              <w:jc w:val="center"/>
            </w:pPr>
            <w:r>
              <w:t>Povećanje/</w:t>
            </w:r>
          </w:p>
          <w:p w:rsidR="00076E84" w:rsidRPr="00774066" w:rsidRDefault="00076E84" w:rsidP="00CF6359">
            <w:pPr>
              <w:jc w:val="center"/>
            </w:pPr>
            <w:r>
              <w:t>Smanjenje</w:t>
            </w:r>
          </w:p>
        </w:tc>
      </w:tr>
      <w:tr w:rsidR="00076E84" w:rsidRPr="00774066" w:rsidTr="00CF6359">
        <w:trPr>
          <w:trHeight w:val="195"/>
        </w:trPr>
        <w:tc>
          <w:tcPr>
            <w:tcW w:w="864"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1906"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0362D3" w:rsidTr="00CF6359">
        <w:trPr>
          <w:trHeight w:val="300"/>
        </w:trPr>
        <w:tc>
          <w:tcPr>
            <w:tcW w:w="864" w:type="dxa"/>
            <w:noWrap/>
            <w:vAlign w:val="center"/>
            <w:hideMark/>
          </w:tcPr>
          <w:p w:rsidR="00076E84" w:rsidRPr="00B54E90" w:rsidRDefault="00076E84" w:rsidP="00CF6359">
            <w:pPr>
              <w:jc w:val="right"/>
              <w:rPr>
                <w:bCs/>
              </w:rPr>
            </w:pPr>
            <w:r w:rsidRPr="00B54E90">
              <w:rPr>
                <w:bCs/>
              </w:rPr>
              <w:t>05</w:t>
            </w:r>
          </w:p>
        </w:tc>
        <w:tc>
          <w:tcPr>
            <w:tcW w:w="1906" w:type="dxa"/>
            <w:vAlign w:val="center"/>
            <w:hideMark/>
          </w:tcPr>
          <w:p w:rsidR="00076E84" w:rsidRPr="00B54E90" w:rsidRDefault="00076E84" w:rsidP="00CF6359">
            <w:pPr>
              <w:rPr>
                <w:bCs/>
              </w:rPr>
            </w:pPr>
            <w:r w:rsidRPr="00B54E90">
              <w:rPr>
                <w:bCs/>
              </w:rPr>
              <w:t xml:space="preserve">Dugotrajna nefinancijska imovina u pripremi </w:t>
            </w:r>
          </w:p>
        </w:tc>
        <w:tc>
          <w:tcPr>
            <w:tcW w:w="603" w:type="dxa"/>
            <w:noWrap/>
            <w:vAlign w:val="center"/>
            <w:hideMark/>
          </w:tcPr>
          <w:p w:rsidR="00076E84" w:rsidRPr="00B54E90" w:rsidRDefault="00076E84" w:rsidP="00CF6359">
            <w:pPr>
              <w:jc w:val="right"/>
              <w:rPr>
                <w:bCs/>
              </w:rPr>
            </w:pPr>
            <w:r w:rsidRPr="00B54E90">
              <w:rPr>
                <w:bCs/>
              </w:rPr>
              <w:t>051</w:t>
            </w:r>
          </w:p>
        </w:tc>
        <w:tc>
          <w:tcPr>
            <w:tcW w:w="1640" w:type="dxa"/>
            <w:noWrap/>
            <w:vAlign w:val="center"/>
            <w:hideMark/>
          </w:tcPr>
          <w:p w:rsidR="00076E84" w:rsidRPr="00B54E90" w:rsidRDefault="00076E84" w:rsidP="00CF6359">
            <w:pPr>
              <w:jc w:val="right"/>
            </w:pPr>
            <w:r w:rsidRPr="00B54E90">
              <w:t>6.702.974.364</w:t>
            </w:r>
          </w:p>
        </w:tc>
        <w:tc>
          <w:tcPr>
            <w:tcW w:w="1669" w:type="dxa"/>
            <w:noWrap/>
            <w:vAlign w:val="center"/>
          </w:tcPr>
          <w:p w:rsidR="00076E84" w:rsidRPr="00B54E90" w:rsidRDefault="00076E84" w:rsidP="00CF6359">
            <w:pPr>
              <w:jc w:val="right"/>
              <w:rPr>
                <w:bCs/>
              </w:rPr>
            </w:pPr>
            <w:r w:rsidRPr="00B54E90">
              <w:rPr>
                <w:bCs/>
              </w:rPr>
              <w:t>6.845.</w:t>
            </w:r>
            <w:r>
              <w:rPr>
                <w:bCs/>
              </w:rPr>
              <w:t>7</w:t>
            </w:r>
            <w:r w:rsidRPr="00B54E90">
              <w:rPr>
                <w:bCs/>
              </w:rPr>
              <w:t>28.269</w:t>
            </w:r>
          </w:p>
        </w:tc>
        <w:tc>
          <w:tcPr>
            <w:tcW w:w="973" w:type="dxa"/>
            <w:noWrap/>
            <w:vAlign w:val="center"/>
          </w:tcPr>
          <w:p w:rsidR="00076E84" w:rsidRPr="00B54E90" w:rsidRDefault="00076E84" w:rsidP="00CF6359">
            <w:pPr>
              <w:jc w:val="right"/>
              <w:rPr>
                <w:bCs/>
              </w:rPr>
            </w:pPr>
            <w:r w:rsidRPr="00B54E90">
              <w:rPr>
                <w:bCs/>
              </w:rPr>
              <w:t>102,1</w:t>
            </w:r>
          </w:p>
        </w:tc>
        <w:tc>
          <w:tcPr>
            <w:tcW w:w="1407" w:type="dxa"/>
            <w:noWrap/>
            <w:vAlign w:val="center"/>
          </w:tcPr>
          <w:p w:rsidR="00076E84" w:rsidRPr="00B54E90" w:rsidRDefault="00076E84" w:rsidP="00CF6359">
            <w:pPr>
              <w:jc w:val="right"/>
              <w:rPr>
                <w:bCs/>
              </w:rPr>
            </w:pPr>
            <w:r>
              <w:rPr>
                <w:bCs/>
              </w:rPr>
              <w:t>142.753.905</w:t>
            </w:r>
          </w:p>
        </w:tc>
      </w:tr>
      <w:tr w:rsidR="00076E84" w:rsidRPr="000362D3" w:rsidTr="00CF6359">
        <w:trPr>
          <w:trHeight w:val="300"/>
        </w:trPr>
        <w:tc>
          <w:tcPr>
            <w:tcW w:w="864" w:type="dxa"/>
            <w:noWrap/>
            <w:vAlign w:val="center"/>
            <w:hideMark/>
          </w:tcPr>
          <w:p w:rsidR="00076E84" w:rsidRPr="000362D3" w:rsidRDefault="00076E84" w:rsidP="00CF6359">
            <w:pPr>
              <w:jc w:val="right"/>
            </w:pPr>
            <w:r w:rsidRPr="000362D3">
              <w:t>051</w:t>
            </w:r>
          </w:p>
        </w:tc>
        <w:tc>
          <w:tcPr>
            <w:tcW w:w="1906" w:type="dxa"/>
            <w:vAlign w:val="center"/>
            <w:hideMark/>
          </w:tcPr>
          <w:p w:rsidR="00076E84" w:rsidRPr="000362D3" w:rsidRDefault="00076E84" w:rsidP="00CF6359">
            <w:r w:rsidRPr="000362D3">
              <w:t>Građevinski objekti u pripremi</w:t>
            </w:r>
          </w:p>
        </w:tc>
        <w:tc>
          <w:tcPr>
            <w:tcW w:w="603" w:type="dxa"/>
            <w:noWrap/>
            <w:vAlign w:val="center"/>
            <w:hideMark/>
          </w:tcPr>
          <w:p w:rsidR="00076E84" w:rsidRPr="000362D3" w:rsidRDefault="00076E84" w:rsidP="00CF6359">
            <w:pPr>
              <w:jc w:val="right"/>
            </w:pPr>
            <w:r>
              <w:t>0</w:t>
            </w:r>
            <w:r w:rsidRPr="000362D3">
              <w:t>52</w:t>
            </w:r>
          </w:p>
        </w:tc>
        <w:tc>
          <w:tcPr>
            <w:tcW w:w="1640" w:type="dxa"/>
            <w:noWrap/>
            <w:vAlign w:val="center"/>
            <w:hideMark/>
          </w:tcPr>
          <w:p w:rsidR="00076E84" w:rsidRPr="008C15C3" w:rsidRDefault="00076E84" w:rsidP="00CF6359">
            <w:pPr>
              <w:jc w:val="right"/>
            </w:pPr>
            <w:r w:rsidRPr="008C15C3">
              <w:t>6.698.563.496</w:t>
            </w:r>
          </w:p>
        </w:tc>
        <w:tc>
          <w:tcPr>
            <w:tcW w:w="1669" w:type="dxa"/>
            <w:noWrap/>
            <w:vAlign w:val="center"/>
          </w:tcPr>
          <w:p w:rsidR="00076E84" w:rsidRPr="000362D3" w:rsidRDefault="00076E84" w:rsidP="00CF6359">
            <w:pPr>
              <w:jc w:val="right"/>
            </w:pPr>
            <w:r>
              <w:t>6.841.615.125</w:t>
            </w:r>
          </w:p>
        </w:tc>
        <w:tc>
          <w:tcPr>
            <w:tcW w:w="973" w:type="dxa"/>
            <w:noWrap/>
            <w:vAlign w:val="center"/>
          </w:tcPr>
          <w:p w:rsidR="00076E84" w:rsidRPr="000362D3" w:rsidRDefault="00076E84" w:rsidP="00CF6359">
            <w:pPr>
              <w:jc w:val="right"/>
            </w:pPr>
            <w:r>
              <w:t>102,1</w:t>
            </w:r>
          </w:p>
        </w:tc>
        <w:tc>
          <w:tcPr>
            <w:tcW w:w="1407" w:type="dxa"/>
            <w:noWrap/>
            <w:vAlign w:val="center"/>
          </w:tcPr>
          <w:p w:rsidR="00076E84" w:rsidRPr="000362D3" w:rsidRDefault="00076E84" w:rsidP="00CF6359">
            <w:pPr>
              <w:jc w:val="right"/>
            </w:pPr>
            <w:r>
              <w:t>143.051.629</w:t>
            </w:r>
          </w:p>
        </w:tc>
      </w:tr>
      <w:tr w:rsidR="00076E84" w:rsidRPr="000362D3" w:rsidTr="00CF6359">
        <w:trPr>
          <w:trHeight w:val="300"/>
        </w:trPr>
        <w:tc>
          <w:tcPr>
            <w:tcW w:w="864" w:type="dxa"/>
            <w:noWrap/>
            <w:vAlign w:val="center"/>
            <w:hideMark/>
          </w:tcPr>
          <w:p w:rsidR="00076E84" w:rsidRPr="000362D3" w:rsidRDefault="00076E84" w:rsidP="00CF6359">
            <w:pPr>
              <w:jc w:val="right"/>
            </w:pPr>
            <w:r w:rsidRPr="000362D3">
              <w:t>052</w:t>
            </w:r>
          </w:p>
        </w:tc>
        <w:tc>
          <w:tcPr>
            <w:tcW w:w="1906" w:type="dxa"/>
            <w:vAlign w:val="center"/>
            <w:hideMark/>
          </w:tcPr>
          <w:p w:rsidR="00076E84" w:rsidRPr="000362D3" w:rsidRDefault="00076E84" w:rsidP="00CF6359">
            <w:r w:rsidRPr="000362D3">
              <w:t>Postrojenja i oprema u pripremi</w:t>
            </w:r>
          </w:p>
        </w:tc>
        <w:tc>
          <w:tcPr>
            <w:tcW w:w="603" w:type="dxa"/>
            <w:noWrap/>
            <w:vAlign w:val="center"/>
            <w:hideMark/>
          </w:tcPr>
          <w:p w:rsidR="00076E84" w:rsidRPr="000362D3" w:rsidRDefault="00076E84" w:rsidP="00CF6359">
            <w:pPr>
              <w:jc w:val="right"/>
            </w:pPr>
            <w:r>
              <w:t>0</w:t>
            </w:r>
            <w:r w:rsidRPr="000362D3">
              <w:t>53</w:t>
            </w:r>
          </w:p>
        </w:tc>
        <w:tc>
          <w:tcPr>
            <w:tcW w:w="1640" w:type="dxa"/>
            <w:noWrap/>
            <w:vAlign w:val="center"/>
            <w:hideMark/>
          </w:tcPr>
          <w:p w:rsidR="00076E84" w:rsidRPr="008C15C3" w:rsidRDefault="00076E84" w:rsidP="00CF6359">
            <w:pPr>
              <w:jc w:val="right"/>
            </w:pPr>
            <w:r w:rsidRPr="008C15C3">
              <w:t>2.922.052</w:t>
            </w:r>
          </w:p>
        </w:tc>
        <w:tc>
          <w:tcPr>
            <w:tcW w:w="1669" w:type="dxa"/>
            <w:noWrap/>
            <w:vAlign w:val="center"/>
          </w:tcPr>
          <w:p w:rsidR="00076E84" w:rsidRPr="000362D3" w:rsidRDefault="00076E84" w:rsidP="00CF6359">
            <w:pPr>
              <w:jc w:val="right"/>
            </w:pPr>
            <w:r>
              <w:t>2.124.328</w:t>
            </w:r>
          </w:p>
        </w:tc>
        <w:tc>
          <w:tcPr>
            <w:tcW w:w="973" w:type="dxa"/>
            <w:noWrap/>
            <w:vAlign w:val="center"/>
          </w:tcPr>
          <w:p w:rsidR="00076E84" w:rsidRPr="000362D3" w:rsidRDefault="00076E84" w:rsidP="00CF6359">
            <w:pPr>
              <w:jc w:val="right"/>
            </w:pPr>
            <w:r>
              <w:t>72,7</w:t>
            </w:r>
          </w:p>
        </w:tc>
        <w:tc>
          <w:tcPr>
            <w:tcW w:w="1407" w:type="dxa"/>
            <w:noWrap/>
            <w:vAlign w:val="center"/>
          </w:tcPr>
          <w:p w:rsidR="00076E84" w:rsidRPr="000362D3" w:rsidRDefault="00076E84" w:rsidP="00CF6359">
            <w:pPr>
              <w:jc w:val="right"/>
            </w:pPr>
            <w:r>
              <w:t>-797.724</w:t>
            </w:r>
          </w:p>
        </w:tc>
      </w:tr>
      <w:tr w:rsidR="00076E84" w:rsidRPr="000362D3" w:rsidTr="00CF6359">
        <w:trPr>
          <w:trHeight w:val="300"/>
        </w:trPr>
        <w:tc>
          <w:tcPr>
            <w:tcW w:w="864" w:type="dxa"/>
            <w:noWrap/>
            <w:vAlign w:val="center"/>
          </w:tcPr>
          <w:p w:rsidR="00076E84" w:rsidRDefault="00076E84" w:rsidP="00CF6359">
            <w:pPr>
              <w:jc w:val="right"/>
            </w:pPr>
            <w:r>
              <w:t>056</w:t>
            </w:r>
          </w:p>
        </w:tc>
        <w:tc>
          <w:tcPr>
            <w:tcW w:w="1906" w:type="dxa"/>
            <w:vAlign w:val="center"/>
          </w:tcPr>
          <w:p w:rsidR="00076E84" w:rsidRDefault="00076E84" w:rsidP="00CF6359">
            <w:r>
              <w:t>Ostala nefinancijska dugotrajna imovina u pripremi</w:t>
            </w:r>
          </w:p>
        </w:tc>
        <w:tc>
          <w:tcPr>
            <w:tcW w:w="603" w:type="dxa"/>
            <w:noWrap/>
            <w:vAlign w:val="center"/>
          </w:tcPr>
          <w:p w:rsidR="00076E84" w:rsidRDefault="00076E84" w:rsidP="00CF6359">
            <w:pPr>
              <w:jc w:val="right"/>
            </w:pPr>
            <w:r>
              <w:t>057</w:t>
            </w:r>
          </w:p>
        </w:tc>
        <w:tc>
          <w:tcPr>
            <w:tcW w:w="1640" w:type="dxa"/>
            <w:noWrap/>
            <w:vAlign w:val="center"/>
          </w:tcPr>
          <w:p w:rsidR="00076E84" w:rsidRDefault="00076E84" w:rsidP="00CF6359">
            <w:pPr>
              <w:jc w:val="right"/>
            </w:pPr>
            <w:r w:rsidRPr="008C15C3">
              <w:t>1.488.816</w:t>
            </w:r>
          </w:p>
        </w:tc>
        <w:tc>
          <w:tcPr>
            <w:tcW w:w="1669" w:type="dxa"/>
            <w:noWrap/>
            <w:vAlign w:val="center"/>
          </w:tcPr>
          <w:p w:rsidR="00076E84" w:rsidRDefault="00076E84" w:rsidP="00CF6359">
            <w:pPr>
              <w:jc w:val="right"/>
            </w:pPr>
            <w:r>
              <w:t>1.488.816</w:t>
            </w:r>
          </w:p>
        </w:tc>
        <w:tc>
          <w:tcPr>
            <w:tcW w:w="973" w:type="dxa"/>
            <w:noWrap/>
            <w:vAlign w:val="center"/>
          </w:tcPr>
          <w:p w:rsidR="00076E84" w:rsidRDefault="00076E84" w:rsidP="00CF6359">
            <w:pPr>
              <w:jc w:val="right"/>
            </w:pPr>
            <w:r>
              <w:t>100,0</w:t>
            </w:r>
          </w:p>
        </w:tc>
        <w:tc>
          <w:tcPr>
            <w:tcW w:w="1407" w:type="dxa"/>
            <w:noWrap/>
            <w:vAlign w:val="center"/>
          </w:tcPr>
          <w:p w:rsidR="00076E84" w:rsidRDefault="00076E84" w:rsidP="00CF6359">
            <w:pPr>
              <w:jc w:val="right"/>
            </w:pPr>
            <w:r>
              <w:t>0</w:t>
            </w:r>
          </w:p>
        </w:tc>
      </w:tr>
    </w:tbl>
    <w:p w:rsidR="00076E84" w:rsidRDefault="00076E84" w:rsidP="00076E84">
      <w:pPr>
        <w:spacing w:after="0"/>
      </w:pPr>
    </w:p>
    <w:p w:rsidR="00076E84" w:rsidRDefault="00076E84" w:rsidP="00076E84">
      <w:pPr>
        <w:jc w:val="both"/>
      </w:pPr>
      <w:r>
        <w:t xml:space="preserve">Stanje dugotrajne nefinancijske imovine u pripremi povećano je za 142.753.905 kn, odnosno za 4,8  %. Prema donesenim programima, projektima i planovima u 2018. godini za kapitalna ulaganja u gradnju objekata društvenih djelatnosti, za radove na području prometa i komunalnog gospodarstva i </w:t>
      </w:r>
      <w:r>
        <w:lastRenderedPageBreak/>
        <w:t xml:space="preserve">u sklopu projekta energetske obnove izvršeno je ulaganje u objekte kulture (18.946.761 kn),  obrazovne objekte (175.427.911 kn),  zdravstvene objekte (48.508.640 kn), uredske objekte gradske uprave ( 11.302.211 kn), sportske objekte (53.509.744 kn), spomenike kulture (3.677.961 kn), u ceste i dr. infrastrukturne objekte (445.483.531 kn). Smanjenje na stavkama dugotrajne nefinancijske imovine u pripremi odnosi se na prijenos dovršenih investicija s pripreme na odgovarajući račun imovine u upotrebi u ukupnom iznosu od 607.800.811 kn (na stanove, poslovne prostore i skloništa 26.936.201 kn, na objekte predškolskih ustanova 68.188.140 kn, na objekte školstva 154.538.920 kn, na objekte sporta 353.304.086 kn, na objekte mjesne samouprave 763.880 kn i na uredske objekte Grada 4.069.584 kn). Isknjiženo je prema zaključcima 1.620.496 kn sa računa imovine u pripremi, jer se troškovi odnose na rashode poslovanja te 4.681.546 kn ulaganja  prenesena Proračunskim korisnicima. </w:t>
      </w:r>
    </w:p>
    <w:p w:rsidR="00076E84" w:rsidRDefault="00076E84" w:rsidP="00076E84">
      <w:r w:rsidRPr="005B7BC3">
        <w:rPr>
          <w:b/>
        </w:rPr>
        <w:t xml:space="preserve">Bilješka br. </w:t>
      </w:r>
      <w:r>
        <w:rPr>
          <w:b/>
        </w:rPr>
        <w:t>10</w:t>
      </w:r>
      <w:r>
        <w:t xml:space="preserve"> – AOP 064 </w:t>
      </w:r>
      <w:r w:rsidRPr="005460E4">
        <w:rPr>
          <w:bCs/>
        </w:rPr>
        <w:t>Novac u banci i blagajni</w:t>
      </w:r>
    </w:p>
    <w:tbl>
      <w:tblPr>
        <w:tblStyle w:val="TableGrid"/>
        <w:tblW w:w="4386" w:type="pct"/>
        <w:jc w:val="center"/>
        <w:tblLook w:val="04A0" w:firstRow="1" w:lastRow="0" w:firstColumn="1" w:lastColumn="0" w:noHBand="0" w:noVBand="1"/>
      </w:tblPr>
      <w:tblGrid>
        <w:gridCol w:w="805"/>
        <w:gridCol w:w="2093"/>
        <w:gridCol w:w="568"/>
        <w:gridCol w:w="1660"/>
        <w:gridCol w:w="1660"/>
        <w:gridCol w:w="1361"/>
      </w:tblGrid>
      <w:tr w:rsidR="00076E84" w:rsidRPr="00774066" w:rsidTr="00CF6359">
        <w:trPr>
          <w:trHeight w:val="600"/>
          <w:jc w:val="center"/>
        </w:trPr>
        <w:tc>
          <w:tcPr>
            <w:tcW w:w="488" w:type="pct"/>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1302" w:type="pct"/>
            <w:shd w:val="clear" w:color="auto" w:fill="DEEAF6" w:themeFill="accent1" w:themeFillTint="33"/>
            <w:vAlign w:val="center"/>
            <w:hideMark/>
          </w:tcPr>
          <w:p w:rsidR="00076E84" w:rsidRPr="00774066" w:rsidRDefault="00076E84" w:rsidP="00CF6359">
            <w:pPr>
              <w:jc w:val="center"/>
            </w:pPr>
            <w:r w:rsidRPr="00774066">
              <w:t>OPIS</w:t>
            </w:r>
          </w:p>
        </w:tc>
        <w:tc>
          <w:tcPr>
            <w:tcW w:w="344" w:type="pct"/>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007" w:type="pct"/>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007" w:type="pct"/>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853" w:type="pct"/>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r>
      <w:tr w:rsidR="00076E84" w:rsidRPr="00774066" w:rsidTr="00CF6359">
        <w:trPr>
          <w:trHeight w:val="195"/>
          <w:jc w:val="center"/>
        </w:trPr>
        <w:tc>
          <w:tcPr>
            <w:tcW w:w="488" w:type="pct"/>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1302" w:type="pct"/>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344" w:type="pct"/>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007" w:type="pct"/>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007" w:type="pct"/>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853" w:type="pct"/>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r>
      <w:tr w:rsidR="00076E84" w:rsidRPr="000362D3" w:rsidTr="00CF6359">
        <w:trPr>
          <w:trHeight w:val="300"/>
          <w:jc w:val="center"/>
        </w:trPr>
        <w:tc>
          <w:tcPr>
            <w:tcW w:w="488" w:type="pct"/>
            <w:noWrap/>
            <w:vAlign w:val="center"/>
            <w:hideMark/>
          </w:tcPr>
          <w:p w:rsidR="00076E84" w:rsidRPr="005460E4" w:rsidRDefault="00076E84" w:rsidP="00CF6359">
            <w:pPr>
              <w:jc w:val="right"/>
              <w:rPr>
                <w:bCs/>
              </w:rPr>
            </w:pPr>
            <w:r w:rsidRPr="005460E4">
              <w:rPr>
                <w:bCs/>
              </w:rPr>
              <w:t>11</w:t>
            </w:r>
          </w:p>
        </w:tc>
        <w:tc>
          <w:tcPr>
            <w:tcW w:w="1302" w:type="pct"/>
            <w:vAlign w:val="center"/>
            <w:hideMark/>
          </w:tcPr>
          <w:p w:rsidR="00076E84" w:rsidRPr="005460E4" w:rsidRDefault="00076E84" w:rsidP="00CF6359">
            <w:pPr>
              <w:rPr>
                <w:bCs/>
              </w:rPr>
            </w:pPr>
            <w:r w:rsidRPr="005460E4">
              <w:rPr>
                <w:bCs/>
              </w:rPr>
              <w:t>Novac u banci i blagajni</w:t>
            </w:r>
          </w:p>
        </w:tc>
        <w:tc>
          <w:tcPr>
            <w:tcW w:w="344" w:type="pct"/>
            <w:noWrap/>
            <w:vAlign w:val="center"/>
            <w:hideMark/>
          </w:tcPr>
          <w:p w:rsidR="00076E84" w:rsidRPr="005460E4" w:rsidRDefault="00076E84" w:rsidP="00CF6359">
            <w:pPr>
              <w:jc w:val="right"/>
              <w:rPr>
                <w:bCs/>
              </w:rPr>
            </w:pPr>
            <w:r w:rsidRPr="005460E4">
              <w:rPr>
                <w:bCs/>
              </w:rPr>
              <w:t>064</w:t>
            </w:r>
          </w:p>
        </w:tc>
        <w:tc>
          <w:tcPr>
            <w:tcW w:w="1007" w:type="pct"/>
            <w:noWrap/>
            <w:vAlign w:val="center"/>
            <w:hideMark/>
          </w:tcPr>
          <w:p w:rsidR="00076E84" w:rsidRPr="005460E4" w:rsidRDefault="00076E84" w:rsidP="00CF6359">
            <w:pPr>
              <w:jc w:val="right"/>
            </w:pPr>
            <w:r w:rsidRPr="004B314F">
              <w:t>35.248.540</w:t>
            </w:r>
          </w:p>
        </w:tc>
        <w:tc>
          <w:tcPr>
            <w:tcW w:w="1007" w:type="pct"/>
            <w:noWrap/>
            <w:vAlign w:val="center"/>
          </w:tcPr>
          <w:p w:rsidR="00076E84" w:rsidRPr="005460E4" w:rsidRDefault="00076E84" w:rsidP="00CF6359">
            <w:pPr>
              <w:jc w:val="right"/>
            </w:pPr>
            <w:r>
              <w:t>37.418.345</w:t>
            </w:r>
          </w:p>
        </w:tc>
        <w:tc>
          <w:tcPr>
            <w:tcW w:w="853" w:type="pct"/>
            <w:noWrap/>
            <w:vAlign w:val="center"/>
          </w:tcPr>
          <w:p w:rsidR="00076E84" w:rsidRPr="00BC0848" w:rsidRDefault="00076E84" w:rsidP="00CF6359">
            <w:pPr>
              <w:jc w:val="center"/>
            </w:pPr>
            <w:r>
              <w:t>106,2</w:t>
            </w:r>
          </w:p>
        </w:tc>
      </w:tr>
    </w:tbl>
    <w:p w:rsidR="00076E84" w:rsidRDefault="00076E84" w:rsidP="00076E84">
      <w:pPr>
        <w:spacing w:after="0"/>
      </w:pPr>
    </w:p>
    <w:p w:rsidR="00076E84" w:rsidRDefault="00076E84" w:rsidP="00076E84">
      <w:pPr>
        <w:spacing w:after="0"/>
        <w:jc w:val="both"/>
      </w:pPr>
      <w:r>
        <w:t xml:space="preserve">Stanje novčanih sredstava na računima i u blagajni veća su za 2.169.805 kn, odnosno za 6,2 % u odnosu na prethodnu godinu. </w:t>
      </w:r>
    </w:p>
    <w:p w:rsidR="00076E84" w:rsidRDefault="00076E84" w:rsidP="00076E84">
      <w:pPr>
        <w:spacing w:after="0"/>
        <w:jc w:val="both"/>
      </w:pPr>
      <w:r>
        <w:t>Stanje novca kod tuzemnih poslovnih banaka na kunskom računu proračuna iznosi 20.650.516 kn i prolaznom računu sredstava od prodaje stanova na kojima postoji stanarsko pravo  2.062.282 kn. Stanje na računu kod inozemne poslovne banke iznosi 4.664 kn. Na računima za posebne namjene izdvojena su novčana sredstva za isplate po sudskim i dr. rješenjima 7.212.632 kn, za isplatu naknade u postupcima izvlaštenja zemljišta 7.407.951 kn i za isplatu korisnicima putem uputnica 80.300 kn.</w:t>
      </w:r>
    </w:p>
    <w:p w:rsidR="00076E84" w:rsidRDefault="00076E84" w:rsidP="00076E84">
      <w:pPr>
        <w:spacing w:after="0"/>
        <w:jc w:val="both"/>
      </w:pPr>
    </w:p>
    <w:p w:rsidR="00076E84" w:rsidRDefault="00076E84" w:rsidP="00076E84">
      <w:r w:rsidRPr="005B7BC3">
        <w:rPr>
          <w:b/>
        </w:rPr>
        <w:t>Bilješka br. 1</w:t>
      </w:r>
      <w:r>
        <w:rPr>
          <w:b/>
        </w:rPr>
        <w:t>1</w:t>
      </w:r>
      <w:r>
        <w:t xml:space="preserve"> – AOP 075 </w:t>
      </w:r>
      <w:r w:rsidRPr="005460E4">
        <w:t>Depoziti</w:t>
      </w:r>
      <w:r>
        <w:t xml:space="preserve"> u tuzemnim kreditnim i ostalim financijskim institucijama</w:t>
      </w:r>
    </w:p>
    <w:tbl>
      <w:tblPr>
        <w:tblStyle w:val="TableGrid"/>
        <w:tblW w:w="0" w:type="auto"/>
        <w:tblLook w:val="04A0" w:firstRow="1" w:lastRow="0" w:firstColumn="1" w:lastColumn="0" w:noHBand="0" w:noVBand="1"/>
      </w:tblPr>
      <w:tblGrid>
        <w:gridCol w:w="805"/>
        <w:gridCol w:w="2414"/>
        <w:gridCol w:w="568"/>
        <w:gridCol w:w="1660"/>
        <w:gridCol w:w="1660"/>
        <w:gridCol w:w="1027"/>
        <w:gridCol w:w="1154"/>
      </w:tblGrid>
      <w:tr w:rsidR="00076E84" w:rsidRPr="00774066" w:rsidTr="00CF6359">
        <w:trPr>
          <w:trHeight w:val="600"/>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0" w:type="auto"/>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0" w:type="auto"/>
            <w:shd w:val="clear" w:color="auto" w:fill="DEEAF6" w:themeFill="accent1" w:themeFillTint="33"/>
            <w:vAlign w:val="center"/>
            <w:hideMark/>
          </w:tcPr>
          <w:p w:rsidR="00076E84" w:rsidRPr="00774066" w:rsidRDefault="00076E84" w:rsidP="00CF6359">
            <w:pPr>
              <w:jc w:val="center"/>
            </w:pPr>
            <w:r w:rsidRPr="0079017B">
              <w:t>Smanjenje</w:t>
            </w:r>
          </w:p>
        </w:tc>
      </w:tr>
      <w:tr w:rsidR="00076E84" w:rsidRPr="00774066" w:rsidTr="00CF6359">
        <w:trPr>
          <w:trHeight w:val="195"/>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0362D3" w:rsidTr="00CF6359">
        <w:trPr>
          <w:trHeight w:val="300"/>
        </w:trPr>
        <w:tc>
          <w:tcPr>
            <w:tcW w:w="0" w:type="auto"/>
            <w:noWrap/>
            <w:vAlign w:val="center"/>
            <w:hideMark/>
          </w:tcPr>
          <w:p w:rsidR="00076E84" w:rsidRPr="000362D3" w:rsidRDefault="00076E84" w:rsidP="00CF6359">
            <w:pPr>
              <w:jc w:val="right"/>
            </w:pPr>
            <w:r>
              <w:t>1211</w:t>
            </w:r>
          </w:p>
        </w:tc>
        <w:tc>
          <w:tcPr>
            <w:tcW w:w="0" w:type="auto"/>
            <w:vAlign w:val="center"/>
            <w:hideMark/>
          </w:tcPr>
          <w:p w:rsidR="00076E84" w:rsidRPr="000362D3" w:rsidRDefault="00076E84" w:rsidP="00CF6359">
            <w:r w:rsidRPr="0079017B">
              <w:t>Depoziti u tuzemnim kreditnim i ostalim financijskim institucijama</w:t>
            </w:r>
          </w:p>
        </w:tc>
        <w:tc>
          <w:tcPr>
            <w:tcW w:w="0" w:type="auto"/>
            <w:noWrap/>
            <w:vAlign w:val="center"/>
            <w:hideMark/>
          </w:tcPr>
          <w:p w:rsidR="00076E84" w:rsidRPr="000362D3" w:rsidRDefault="00076E84" w:rsidP="00CF6359">
            <w:pPr>
              <w:jc w:val="right"/>
            </w:pPr>
            <w:r>
              <w:t>075</w:t>
            </w:r>
          </w:p>
        </w:tc>
        <w:tc>
          <w:tcPr>
            <w:tcW w:w="0" w:type="auto"/>
            <w:noWrap/>
            <w:vAlign w:val="center"/>
            <w:hideMark/>
          </w:tcPr>
          <w:p w:rsidR="00076E84" w:rsidRPr="00685A81" w:rsidRDefault="00076E84" w:rsidP="00CF6359">
            <w:pPr>
              <w:jc w:val="right"/>
            </w:pPr>
            <w:r>
              <w:t>6.732.548</w:t>
            </w:r>
          </w:p>
        </w:tc>
        <w:tc>
          <w:tcPr>
            <w:tcW w:w="0" w:type="auto"/>
            <w:noWrap/>
            <w:vAlign w:val="center"/>
          </w:tcPr>
          <w:p w:rsidR="00076E84" w:rsidRDefault="00076E84" w:rsidP="00CF6359">
            <w:pPr>
              <w:jc w:val="right"/>
            </w:pPr>
            <w:r>
              <w:t>6.343.452</w:t>
            </w:r>
          </w:p>
        </w:tc>
        <w:tc>
          <w:tcPr>
            <w:tcW w:w="0" w:type="auto"/>
            <w:noWrap/>
            <w:vAlign w:val="center"/>
          </w:tcPr>
          <w:p w:rsidR="00076E84" w:rsidRPr="003F015E" w:rsidRDefault="00076E84" w:rsidP="00CF6359">
            <w:pPr>
              <w:jc w:val="center"/>
            </w:pPr>
            <w:r>
              <w:t>94,2</w:t>
            </w:r>
          </w:p>
        </w:tc>
        <w:tc>
          <w:tcPr>
            <w:tcW w:w="0" w:type="auto"/>
            <w:noWrap/>
            <w:vAlign w:val="center"/>
          </w:tcPr>
          <w:p w:rsidR="00076E84" w:rsidRDefault="00076E84" w:rsidP="00CF6359">
            <w:pPr>
              <w:jc w:val="right"/>
            </w:pPr>
            <w:r>
              <w:t>389.096</w:t>
            </w:r>
          </w:p>
        </w:tc>
      </w:tr>
    </w:tbl>
    <w:p w:rsidR="00076E84" w:rsidRDefault="00076E84" w:rsidP="00076E84">
      <w:pPr>
        <w:spacing w:after="0"/>
      </w:pPr>
    </w:p>
    <w:p w:rsidR="00076E84" w:rsidRDefault="00076E84" w:rsidP="00076E84">
      <w:pPr>
        <w:spacing w:after="0"/>
        <w:jc w:val="both"/>
      </w:pPr>
      <w:r>
        <w:t xml:space="preserve">Stanje depozita u bankama  manje je za dva vraćena depozita Privredne banke i obračunate tečajne razlike.  </w:t>
      </w:r>
    </w:p>
    <w:p w:rsidR="00076E84" w:rsidRDefault="00076E84" w:rsidP="00076E84">
      <w:pPr>
        <w:spacing w:after="0"/>
        <w:jc w:val="both"/>
      </w:pPr>
    </w:p>
    <w:p w:rsidR="00076E84" w:rsidRDefault="00076E84" w:rsidP="00076E84">
      <w:r w:rsidRPr="00505402">
        <w:rPr>
          <w:b/>
        </w:rPr>
        <w:t>Bilješka br. 1</w:t>
      </w:r>
      <w:r>
        <w:rPr>
          <w:b/>
        </w:rPr>
        <w:t>2</w:t>
      </w:r>
      <w:r>
        <w:t xml:space="preserve"> – AOP 077 Jamčevni polozi</w:t>
      </w:r>
    </w:p>
    <w:p w:rsidR="00076E84" w:rsidRDefault="00076E84" w:rsidP="00076E84">
      <w:pPr>
        <w:spacing w:after="0"/>
        <w:jc w:val="both"/>
      </w:pPr>
      <w:r>
        <w:t xml:space="preserve">U 2018. godini vraćen je polog u iznosu od 2.411.150 kn. </w:t>
      </w:r>
    </w:p>
    <w:p w:rsidR="00076E84" w:rsidRDefault="00076E84" w:rsidP="00076E84">
      <w:pPr>
        <w:spacing w:after="0"/>
        <w:jc w:val="both"/>
      </w:pPr>
    </w:p>
    <w:p w:rsidR="00076E84" w:rsidRDefault="00076E84" w:rsidP="00076E84">
      <w:r w:rsidRPr="00505402">
        <w:rPr>
          <w:b/>
        </w:rPr>
        <w:t>Bilješka br. 1</w:t>
      </w:r>
      <w:r>
        <w:rPr>
          <w:b/>
        </w:rPr>
        <w:t>3</w:t>
      </w:r>
      <w:r>
        <w:t xml:space="preserve"> – AOP 080 Ostala potraživanja</w:t>
      </w:r>
    </w:p>
    <w:tbl>
      <w:tblPr>
        <w:tblStyle w:val="TableGrid"/>
        <w:tblW w:w="0" w:type="auto"/>
        <w:tblLook w:val="04A0" w:firstRow="1" w:lastRow="0" w:firstColumn="1" w:lastColumn="0" w:noHBand="0" w:noVBand="1"/>
      </w:tblPr>
      <w:tblGrid>
        <w:gridCol w:w="805"/>
        <w:gridCol w:w="1936"/>
        <w:gridCol w:w="568"/>
        <w:gridCol w:w="1660"/>
        <w:gridCol w:w="1660"/>
        <w:gridCol w:w="1252"/>
        <w:gridCol w:w="1270"/>
      </w:tblGrid>
      <w:tr w:rsidR="00076E84" w:rsidRPr="00774066" w:rsidTr="00CF6359">
        <w:trPr>
          <w:trHeight w:val="600"/>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1252"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270" w:type="dxa"/>
            <w:shd w:val="clear" w:color="auto" w:fill="DEEAF6" w:themeFill="accent1" w:themeFillTint="33"/>
            <w:vAlign w:val="center"/>
            <w:hideMark/>
          </w:tcPr>
          <w:p w:rsidR="00076E84" w:rsidRPr="00774066" w:rsidRDefault="00076E84" w:rsidP="00CF6359">
            <w:pPr>
              <w:jc w:val="center"/>
            </w:pPr>
            <w:r>
              <w:t>Povećanje</w:t>
            </w:r>
            <w:r w:rsidRPr="00722C08">
              <w:t xml:space="preserve"> </w:t>
            </w:r>
          </w:p>
        </w:tc>
      </w:tr>
      <w:tr w:rsidR="00076E84" w:rsidRPr="00774066" w:rsidTr="00CF6359">
        <w:trPr>
          <w:trHeight w:val="195"/>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1252"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270"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0362D3" w:rsidTr="00CF6359">
        <w:trPr>
          <w:trHeight w:val="300"/>
        </w:trPr>
        <w:tc>
          <w:tcPr>
            <w:tcW w:w="0" w:type="auto"/>
            <w:noWrap/>
            <w:vAlign w:val="center"/>
            <w:hideMark/>
          </w:tcPr>
          <w:p w:rsidR="00076E84" w:rsidRPr="000362D3" w:rsidRDefault="00076E84" w:rsidP="00CF6359">
            <w:pPr>
              <w:jc w:val="right"/>
            </w:pPr>
            <w:r>
              <w:t>129</w:t>
            </w:r>
          </w:p>
        </w:tc>
        <w:tc>
          <w:tcPr>
            <w:tcW w:w="0" w:type="auto"/>
            <w:vAlign w:val="center"/>
            <w:hideMark/>
          </w:tcPr>
          <w:p w:rsidR="00076E84" w:rsidRPr="000362D3" w:rsidRDefault="00076E84" w:rsidP="00CF6359">
            <w:r>
              <w:t>Ostala potraživanja</w:t>
            </w:r>
          </w:p>
        </w:tc>
        <w:tc>
          <w:tcPr>
            <w:tcW w:w="0" w:type="auto"/>
            <w:noWrap/>
            <w:vAlign w:val="center"/>
            <w:hideMark/>
          </w:tcPr>
          <w:p w:rsidR="00076E84" w:rsidRPr="000362D3" w:rsidRDefault="00076E84" w:rsidP="00CF6359">
            <w:pPr>
              <w:jc w:val="right"/>
            </w:pPr>
            <w:r>
              <w:t>080</w:t>
            </w:r>
          </w:p>
        </w:tc>
        <w:tc>
          <w:tcPr>
            <w:tcW w:w="0" w:type="auto"/>
            <w:noWrap/>
            <w:vAlign w:val="center"/>
            <w:hideMark/>
          </w:tcPr>
          <w:p w:rsidR="00076E84" w:rsidRPr="00E26CDE" w:rsidRDefault="00076E84" w:rsidP="00CF6359">
            <w:pPr>
              <w:jc w:val="right"/>
            </w:pPr>
            <w:r>
              <w:t>16.034.660</w:t>
            </w:r>
          </w:p>
        </w:tc>
        <w:tc>
          <w:tcPr>
            <w:tcW w:w="0" w:type="auto"/>
            <w:noWrap/>
            <w:vAlign w:val="center"/>
          </w:tcPr>
          <w:p w:rsidR="00076E84" w:rsidRDefault="00076E84" w:rsidP="00CF6359">
            <w:pPr>
              <w:jc w:val="right"/>
            </w:pPr>
            <w:r>
              <w:t>18.733.066</w:t>
            </w:r>
          </w:p>
        </w:tc>
        <w:tc>
          <w:tcPr>
            <w:tcW w:w="1252" w:type="dxa"/>
            <w:noWrap/>
            <w:vAlign w:val="center"/>
          </w:tcPr>
          <w:p w:rsidR="00076E84" w:rsidRPr="003F015E" w:rsidRDefault="00076E84" w:rsidP="00CF6359">
            <w:pPr>
              <w:jc w:val="center"/>
            </w:pPr>
            <w:r>
              <w:t>116,8</w:t>
            </w:r>
          </w:p>
        </w:tc>
        <w:tc>
          <w:tcPr>
            <w:tcW w:w="1270" w:type="dxa"/>
            <w:noWrap/>
            <w:vAlign w:val="center"/>
          </w:tcPr>
          <w:p w:rsidR="00076E84" w:rsidRDefault="00076E84" w:rsidP="00CF6359">
            <w:pPr>
              <w:jc w:val="right"/>
            </w:pPr>
            <w:r>
              <w:t>2.698.406</w:t>
            </w:r>
          </w:p>
        </w:tc>
      </w:tr>
    </w:tbl>
    <w:p w:rsidR="00076E84" w:rsidRDefault="00076E84" w:rsidP="00076E84">
      <w:pPr>
        <w:spacing w:after="0"/>
        <w:rPr>
          <w:b/>
        </w:rPr>
      </w:pPr>
    </w:p>
    <w:p w:rsidR="00076E84" w:rsidRPr="00806362" w:rsidRDefault="00076E84" w:rsidP="00076E84">
      <w:r w:rsidRPr="00806362">
        <w:t xml:space="preserve">Povećanje </w:t>
      </w:r>
      <w:r>
        <w:t>se najvećim dijelom odnosi na potraživanja proračuna od proračunskih korisnika za povrat u nadležni proračun.</w:t>
      </w:r>
    </w:p>
    <w:p w:rsidR="00076E84" w:rsidRDefault="00076E84" w:rsidP="00076E84">
      <w:r w:rsidRPr="00505402">
        <w:rPr>
          <w:b/>
        </w:rPr>
        <w:t>Bilješka br. 1</w:t>
      </w:r>
      <w:r>
        <w:rPr>
          <w:b/>
        </w:rPr>
        <w:t>4</w:t>
      </w:r>
      <w:r>
        <w:t xml:space="preserve"> – AOP 082 Zajmovi - tuzemni</w:t>
      </w:r>
    </w:p>
    <w:tbl>
      <w:tblPr>
        <w:tblStyle w:val="TableGrid"/>
        <w:tblW w:w="0" w:type="auto"/>
        <w:jc w:val="center"/>
        <w:tblLook w:val="04A0" w:firstRow="1" w:lastRow="0" w:firstColumn="1" w:lastColumn="0" w:noHBand="0" w:noVBand="1"/>
      </w:tblPr>
      <w:tblGrid>
        <w:gridCol w:w="995"/>
        <w:gridCol w:w="919"/>
        <w:gridCol w:w="568"/>
        <w:gridCol w:w="1660"/>
        <w:gridCol w:w="1660"/>
        <w:gridCol w:w="945"/>
        <w:gridCol w:w="1154"/>
      </w:tblGrid>
      <w:tr w:rsidR="00076E84" w:rsidRPr="00774066" w:rsidTr="00CF6359">
        <w:trPr>
          <w:trHeight w:val="600"/>
          <w:jc w:val="center"/>
        </w:trPr>
        <w:tc>
          <w:tcPr>
            <w:tcW w:w="0" w:type="auto"/>
            <w:shd w:val="clear" w:color="auto" w:fill="DEEAF6" w:themeFill="accent1" w:themeFillTint="33"/>
            <w:noWrap/>
            <w:vAlign w:val="center"/>
            <w:hideMark/>
          </w:tcPr>
          <w:p w:rsidR="00076E84" w:rsidRPr="00184923" w:rsidRDefault="00076E84" w:rsidP="00CF6359">
            <w:pP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r w:rsidRPr="00774066">
              <w:t>OPIS</w:t>
            </w:r>
          </w:p>
        </w:tc>
        <w:tc>
          <w:tcPr>
            <w:tcW w:w="0" w:type="auto"/>
            <w:shd w:val="clear" w:color="auto" w:fill="DEEAF6" w:themeFill="accent1" w:themeFillTint="33"/>
            <w:noWrap/>
            <w:vAlign w:val="center"/>
            <w:hideMark/>
          </w:tcPr>
          <w:p w:rsidR="00076E84" w:rsidRPr="00184923" w:rsidRDefault="00076E84" w:rsidP="00CF6359">
            <w:pP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r w:rsidRPr="00774066">
              <w:t>Stanje 31.12.1</w:t>
            </w:r>
            <w:r>
              <w:t>8</w:t>
            </w:r>
            <w:r w:rsidRPr="00774066">
              <w:t>.</w:t>
            </w:r>
          </w:p>
        </w:tc>
        <w:tc>
          <w:tcPr>
            <w:tcW w:w="0" w:type="auto"/>
            <w:shd w:val="clear" w:color="auto" w:fill="DEEAF6" w:themeFill="accent1" w:themeFillTint="33"/>
            <w:vAlign w:val="center"/>
            <w:hideMark/>
          </w:tcPr>
          <w:p w:rsidR="00076E84" w:rsidRDefault="00076E84" w:rsidP="00CF6359">
            <w:pPr>
              <w:rPr>
                <w:sz w:val="20"/>
                <w:szCs w:val="20"/>
              </w:rPr>
            </w:pPr>
            <w:r w:rsidRPr="00184923">
              <w:rPr>
                <w:sz w:val="20"/>
                <w:szCs w:val="20"/>
              </w:rPr>
              <w:t>Indeks</w:t>
            </w:r>
          </w:p>
          <w:p w:rsidR="00076E84" w:rsidRPr="00184923" w:rsidRDefault="00076E84" w:rsidP="00CF6359">
            <w:pPr>
              <w:rPr>
                <w:sz w:val="20"/>
                <w:szCs w:val="20"/>
              </w:rPr>
            </w:pPr>
            <w:r w:rsidRPr="00184923">
              <w:rPr>
                <w:sz w:val="20"/>
                <w:szCs w:val="20"/>
              </w:rPr>
              <w:t xml:space="preserve"> 5/4*100</w:t>
            </w:r>
          </w:p>
        </w:tc>
        <w:tc>
          <w:tcPr>
            <w:tcW w:w="0" w:type="auto"/>
            <w:shd w:val="clear" w:color="auto" w:fill="DEEAF6" w:themeFill="accent1" w:themeFillTint="33"/>
            <w:vAlign w:val="center"/>
            <w:hideMark/>
          </w:tcPr>
          <w:p w:rsidR="00076E84" w:rsidRPr="00774066" w:rsidRDefault="00076E84" w:rsidP="00CF6359">
            <w:r w:rsidRPr="00722C08">
              <w:t xml:space="preserve">Smanjenje </w:t>
            </w:r>
          </w:p>
        </w:tc>
      </w:tr>
      <w:tr w:rsidR="00076E84" w:rsidRPr="00774066" w:rsidTr="00CF6359">
        <w:trPr>
          <w:trHeight w:val="195"/>
          <w:jc w:val="center"/>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0362D3" w:rsidTr="00CF6359">
        <w:trPr>
          <w:trHeight w:val="300"/>
          <w:jc w:val="center"/>
        </w:trPr>
        <w:tc>
          <w:tcPr>
            <w:tcW w:w="0" w:type="auto"/>
            <w:noWrap/>
            <w:vAlign w:val="center"/>
            <w:hideMark/>
          </w:tcPr>
          <w:p w:rsidR="00076E84" w:rsidRDefault="00076E84" w:rsidP="00CF6359">
            <w:pPr>
              <w:jc w:val="right"/>
            </w:pPr>
            <w:r>
              <w:t>132,134,</w:t>
            </w:r>
          </w:p>
          <w:p w:rsidR="00076E84" w:rsidRPr="000362D3" w:rsidRDefault="00076E84" w:rsidP="00CF6359">
            <w:pPr>
              <w:jc w:val="center"/>
            </w:pPr>
            <w:r>
              <w:t xml:space="preserve"> 136</w:t>
            </w:r>
          </w:p>
        </w:tc>
        <w:tc>
          <w:tcPr>
            <w:tcW w:w="0" w:type="auto"/>
            <w:vAlign w:val="center"/>
            <w:hideMark/>
          </w:tcPr>
          <w:p w:rsidR="00076E84" w:rsidRPr="000362D3" w:rsidRDefault="00076E84" w:rsidP="00CF6359">
            <w:r>
              <w:t>Zajmovi</w:t>
            </w:r>
          </w:p>
        </w:tc>
        <w:tc>
          <w:tcPr>
            <w:tcW w:w="0" w:type="auto"/>
            <w:noWrap/>
            <w:vAlign w:val="center"/>
            <w:hideMark/>
          </w:tcPr>
          <w:p w:rsidR="00076E84" w:rsidRPr="000362D3" w:rsidRDefault="00076E84" w:rsidP="00CF6359">
            <w:pPr>
              <w:jc w:val="right"/>
            </w:pPr>
            <w:r>
              <w:t>082</w:t>
            </w:r>
          </w:p>
        </w:tc>
        <w:tc>
          <w:tcPr>
            <w:tcW w:w="0" w:type="auto"/>
            <w:noWrap/>
            <w:vAlign w:val="center"/>
            <w:hideMark/>
          </w:tcPr>
          <w:p w:rsidR="00076E84" w:rsidRPr="00E26CDE" w:rsidRDefault="00076E84" w:rsidP="00CF6359">
            <w:pPr>
              <w:jc w:val="right"/>
            </w:pPr>
            <w:r>
              <w:t>16.418.156</w:t>
            </w:r>
          </w:p>
        </w:tc>
        <w:tc>
          <w:tcPr>
            <w:tcW w:w="0" w:type="auto"/>
            <w:noWrap/>
            <w:vAlign w:val="center"/>
          </w:tcPr>
          <w:p w:rsidR="00076E84" w:rsidRDefault="00076E84" w:rsidP="00CF6359">
            <w:pPr>
              <w:jc w:val="right"/>
            </w:pPr>
            <w:r>
              <w:t>11.445.534</w:t>
            </w:r>
          </w:p>
        </w:tc>
        <w:tc>
          <w:tcPr>
            <w:tcW w:w="0" w:type="auto"/>
            <w:noWrap/>
            <w:vAlign w:val="center"/>
          </w:tcPr>
          <w:p w:rsidR="00076E84" w:rsidRPr="003F015E" w:rsidRDefault="00076E84" w:rsidP="00CF6359">
            <w:pPr>
              <w:jc w:val="right"/>
            </w:pPr>
            <w:r>
              <w:t>69,7</w:t>
            </w:r>
          </w:p>
        </w:tc>
        <w:tc>
          <w:tcPr>
            <w:tcW w:w="0" w:type="auto"/>
            <w:noWrap/>
            <w:vAlign w:val="center"/>
          </w:tcPr>
          <w:p w:rsidR="00076E84" w:rsidRDefault="00076E84" w:rsidP="00CF6359">
            <w:pPr>
              <w:jc w:val="right"/>
            </w:pPr>
            <w:r>
              <w:t>4.972.622</w:t>
            </w:r>
          </w:p>
        </w:tc>
      </w:tr>
    </w:tbl>
    <w:p w:rsidR="00076E84" w:rsidRDefault="00076E84" w:rsidP="00076E84">
      <w:pPr>
        <w:spacing w:after="0"/>
      </w:pPr>
    </w:p>
    <w:p w:rsidR="00076E84" w:rsidRDefault="00076E84" w:rsidP="00076E84">
      <w:pPr>
        <w:jc w:val="both"/>
      </w:pPr>
      <w:r>
        <w:t>Tijekom 2018. godine vraćeni su zajmovi u iznosu od 2.913.310 od Razvojne agencije Zagreb-TPZ d.o.o. i 1.500.000 kn od Vodoprivrede Zagreb d.d. te otplaćene glavnice stambenih kredita u iznosu 558.890 kn. Stanje potraživanja za dane zajmove na dan 31.12.2018. odnose se na:</w:t>
      </w:r>
    </w:p>
    <w:tbl>
      <w:tblPr>
        <w:tblW w:w="6658" w:type="dxa"/>
        <w:jc w:val="center"/>
        <w:tblLook w:val="04A0" w:firstRow="1" w:lastRow="0" w:firstColumn="1" w:lastColumn="0" w:noHBand="0" w:noVBand="1"/>
      </w:tblPr>
      <w:tblGrid>
        <w:gridCol w:w="988"/>
        <w:gridCol w:w="3685"/>
        <w:gridCol w:w="1985"/>
      </w:tblGrid>
      <w:tr w:rsidR="00076E84" w:rsidRPr="000104B8" w:rsidTr="00CF6359">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bCs/>
                <w:color w:val="000000"/>
                <w:lang w:eastAsia="hr-HR"/>
              </w:rPr>
            </w:pPr>
            <w:r w:rsidRPr="000104B8">
              <w:rPr>
                <w:rFonts w:ascii="Calibri" w:eastAsia="Times New Roman" w:hAnsi="Calibri" w:cs="Calibri"/>
                <w:bCs/>
                <w:color w:val="000000"/>
                <w:lang w:eastAsia="hr-HR"/>
              </w:rPr>
              <w:t>Red. br.</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bCs/>
                <w:color w:val="000000"/>
                <w:lang w:eastAsia="hr-HR"/>
              </w:rPr>
            </w:pPr>
            <w:r w:rsidRPr="000104B8">
              <w:rPr>
                <w:rFonts w:ascii="Calibri" w:eastAsia="Times New Roman" w:hAnsi="Calibri" w:cs="Calibri"/>
                <w:bCs/>
                <w:color w:val="000000"/>
                <w:lang w:eastAsia="hr-HR"/>
              </w:rPr>
              <w:t>Dužnik</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bCs/>
                <w:color w:val="000000"/>
                <w:lang w:eastAsia="hr-HR"/>
              </w:rPr>
            </w:pPr>
            <w:r w:rsidRPr="000104B8">
              <w:rPr>
                <w:rFonts w:ascii="Calibri" w:eastAsia="Times New Roman" w:hAnsi="Calibri" w:cs="Calibri"/>
                <w:bCs/>
                <w:color w:val="000000"/>
                <w:lang w:eastAsia="hr-HR"/>
              </w:rPr>
              <w:t>Stanje zajma 31.12.</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1</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Razvojna agencija Zagreb - TPZ d.o.o.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313.300</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2</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Obrt "Jurakić"</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522.521</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3</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Obrt "Da-Da"</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143.371</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4</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Senmarius d.o.o.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4.047.042</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5</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Slavonija diskont d.o.o.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40.632</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6</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Sank d.o.o.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756.870</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7</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 xml:space="preserve">Obrt "Viva centar" </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505.595</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8</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Minolovac d.o.o.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71.087</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9</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Drvo Sertić d.o.o.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2.186.758</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10</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G. Filipović</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10.665</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11</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Ž. Jambrović</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36.446</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12</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Ž. Špoljarić</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15.380</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13</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V. Štefan</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9.228</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14</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rPr>
                <w:rFonts w:ascii="Calibri" w:eastAsia="Times New Roman" w:hAnsi="Calibri" w:cs="Calibri"/>
                <w:color w:val="000000"/>
                <w:lang w:eastAsia="hr-HR"/>
              </w:rPr>
            </w:pPr>
            <w:r w:rsidRPr="000104B8">
              <w:rPr>
                <w:rFonts w:ascii="Calibri" w:eastAsia="Times New Roman" w:hAnsi="Calibri" w:cs="Calibri"/>
                <w:color w:val="000000"/>
                <w:lang w:eastAsia="hr-HR"/>
              </w:rPr>
              <w:t>Stambeni krediti</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2.615.608</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rsidR="00076E84" w:rsidRPr="000104B8" w:rsidRDefault="00076E84" w:rsidP="00CF635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15</w:t>
            </w:r>
          </w:p>
        </w:tc>
        <w:tc>
          <w:tcPr>
            <w:tcW w:w="3685" w:type="dxa"/>
            <w:tcBorders>
              <w:top w:val="nil"/>
              <w:left w:val="nil"/>
              <w:bottom w:val="single" w:sz="4" w:space="0" w:color="auto"/>
              <w:right w:val="single" w:sz="4" w:space="0" w:color="auto"/>
            </w:tcBorders>
            <w:shd w:val="clear" w:color="auto" w:fill="auto"/>
            <w:noWrap/>
            <w:vAlign w:val="bottom"/>
          </w:tcPr>
          <w:p w:rsidR="00076E84" w:rsidRPr="000104B8" w:rsidRDefault="00076E84" w:rsidP="00CF6359">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Vodoprivreda Zagreb d.d.</w:t>
            </w:r>
          </w:p>
        </w:tc>
        <w:tc>
          <w:tcPr>
            <w:tcW w:w="1985" w:type="dxa"/>
            <w:tcBorders>
              <w:top w:val="nil"/>
              <w:left w:val="nil"/>
              <w:bottom w:val="single" w:sz="4" w:space="0" w:color="auto"/>
              <w:right w:val="single" w:sz="4" w:space="0" w:color="auto"/>
            </w:tcBorders>
            <w:shd w:val="clear" w:color="auto" w:fill="auto"/>
            <w:noWrap/>
            <w:vAlign w:val="bottom"/>
          </w:tcPr>
          <w:p w:rsidR="00076E84" w:rsidRPr="007A31A6" w:rsidRDefault="00076E84" w:rsidP="00CF6359">
            <w:pPr>
              <w:spacing w:after="0" w:line="240" w:lineRule="auto"/>
              <w:jc w:val="right"/>
              <w:rPr>
                <w:rFonts w:ascii="Calibri" w:eastAsia="Times New Roman" w:hAnsi="Calibri" w:cs="Calibri"/>
                <w:color w:val="000000"/>
                <w:lang w:eastAsia="hr-HR"/>
              </w:rPr>
            </w:pPr>
            <w:r w:rsidRPr="007A31A6">
              <w:rPr>
                <w:rFonts w:ascii="Calibri" w:eastAsia="Times New Roman" w:hAnsi="Calibri" w:cs="Calibri"/>
                <w:color w:val="000000"/>
                <w:lang w:eastAsia="hr-HR"/>
              </w:rPr>
              <w:t>171.032</w:t>
            </w:r>
          </w:p>
        </w:tc>
      </w:tr>
      <w:tr w:rsidR="00076E84" w:rsidRPr="000104B8" w:rsidTr="00CF6359">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076E84" w:rsidRPr="000104B8" w:rsidRDefault="00076E84" w:rsidP="00CF6359">
            <w:pPr>
              <w:spacing w:after="0" w:line="240" w:lineRule="auto"/>
              <w:jc w:val="center"/>
              <w:rPr>
                <w:rFonts w:ascii="Calibri" w:eastAsia="Times New Roman" w:hAnsi="Calibri" w:cs="Calibri"/>
                <w:color w:val="000000"/>
                <w:lang w:eastAsia="hr-HR"/>
              </w:rPr>
            </w:pPr>
            <w:r w:rsidRPr="000104B8">
              <w:rPr>
                <w:rFonts w:ascii="Calibri" w:eastAsia="Times New Roman" w:hAnsi="Calibri" w:cs="Calibri"/>
                <w:color w:val="000000"/>
                <w:lang w:eastAsia="hr-HR"/>
              </w:rPr>
              <w:t> </w:t>
            </w:r>
          </w:p>
        </w:tc>
        <w:tc>
          <w:tcPr>
            <w:tcW w:w="36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rPr>
                <w:rFonts w:ascii="Calibri" w:eastAsia="Times New Roman" w:hAnsi="Calibri" w:cs="Calibri"/>
                <w:bCs/>
                <w:color w:val="000000"/>
                <w:lang w:eastAsia="hr-HR"/>
              </w:rPr>
            </w:pPr>
            <w:r w:rsidRPr="007A31A6">
              <w:rPr>
                <w:rFonts w:ascii="Calibri" w:eastAsia="Times New Roman" w:hAnsi="Calibri" w:cs="Calibri"/>
                <w:bCs/>
                <w:color w:val="000000"/>
                <w:lang w:eastAsia="hr-HR"/>
              </w:rPr>
              <w:t>UKUPNO</w:t>
            </w:r>
          </w:p>
        </w:tc>
        <w:tc>
          <w:tcPr>
            <w:tcW w:w="1985" w:type="dxa"/>
            <w:tcBorders>
              <w:top w:val="nil"/>
              <w:left w:val="nil"/>
              <w:bottom w:val="single" w:sz="4" w:space="0" w:color="auto"/>
              <w:right w:val="single" w:sz="4" w:space="0" w:color="auto"/>
            </w:tcBorders>
            <w:shd w:val="clear" w:color="auto" w:fill="auto"/>
            <w:noWrap/>
            <w:vAlign w:val="bottom"/>
            <w:hideMark/>
          </w:tcPr>
          <w:p w:rsidR="00076E84" w:rsidRPr="007A31A6" w:rsidRDefault="00076E84" w:rsidP="00CF6359">
            <w:pPr>
              <w:spacing w:after="0" w:line="240" w:lineRule="auto"/>
              <w:jc w:val="right"/>
              <w:rPr>
                <w:rFonts w:ascii="Calibri" w:eastAsia="Times New Roman" w:hAnsi="Calibri" w:cs="Calibri"/>
                <w:bCs/>
                <w:color w:val="000000"/>
                <w:lang w:eastAsia="hr-HR"/>
              </w:rPr>
            </w:pPr>
            <w:r w:rsidRPr="007A31A6">
              <w:rPr>
                <w:rFonts w:ascii="Calibri" w:eastAsia="Times New Roman" w:hAnsi="Calibri" w:cs="Calibri"/>
                <w:bCs/>
                <w:color w:val="000000"/>
                <w:lang w:eastAsia="hr-HR"/>
              </w:rPr>
              <w:t>11.445.534</w:t>
            </w:r>
          </w:p>
        </w:tc>
      </w:tr>
    </w:tbl>
    <w:p w:rsidR="00076E84" w:rsidRPr="00620D46" w:rsidRDefault="00076E84" w:rsidP="00076E84">
      <w:pPr>
        <w:jc w:val="both"/>
        <w:rPr>
          <w:b/>
          <w:sz w:val="18"/>
          <w:szCs w:val="18"/>
        </w:rPr>
      </w:pPr>
      <w:r w:rsidRPr="00E861CB">
        <w:rPr>
          <w:sz w:val="18"/>
          <w:szCs w:val="18"/>
        </w:rPr>
        <w:t xml:space="preserve">Napomena: </w:t>
      </w:r>
      <w:r w:rsidRPr="00620D46">
        <w:rPr>
          <w:sz w:val="18"/>
          <w:szCs w:val="18"/>
        </w:rPr>
        <w:t>Sa svrhom poticanja razvoja obrtništva i poduzetništva, Grad Zagreb je prijašnjih godina poslovnim bankama doznačivao sredstva depozita za kreditiranje poduzetnika. S obzirom da su pojedini obrtnici i poduzetnici bili neuredni u podmirivanju obveza s osnove kredita, ba</w:t>
      </w:r>
      <w:r>
        <w:rPr>
          <w:sz w:val="18"/>
          <w:szCs w:val="18"/>
        </w:rPr>
        <w:t xml:space="preserve">nke su se naplatile iz depozita. Kako se Grad nastoji naplatiti od dužnika već unatrag par godina, </w:t>
      </w:r>
      <w:r w:rsidRPr="00E861CB">
        <w:rPr>
          <w:sz w:val="18"/>
          <w:szCs w:val="18"/>
        </w:rPr>
        <w:t>za potraživanja pod Red. br. od 2. do 13. proveden</w:t>
      </w:r>
      <w:r>
        <w:rPr>
          <w:sz w:val="18"/>
          <w:szCs w:val="18"/>
        </w:rPr>
        <w:t xml:space="preserve"> je</w:t>
      </w:r>
      <w:r w:rsidRPr="00E861CB">
        <w:rPr>
          <w:sz w:val="18"/>
          <w:szCs w:val="18"/>
        </w:rPr>
        <w:t xml:space="preserve"> ispravak vrijednosti u 100% iznosu.</w:t>
      </w:r>
    </w:p>
    <w:p w:rsidR="00076E84" w:rsidRDefault="00076E84" w:rsidP="00076E84">
      <w:r w:rsidRPr="00505402">
        <w:rPr>
          <w:b/>
        </w:rPr>
        <w:t>Bilješka br. 1</w:t>
      </w:r>
      <w:r>
        <w:rPr>
          <w:b/>
        </w:rPr>
        <w:t>5</w:t>
      </w:r>
      <w:r>
        <w:t xml:space="preserve"> – AOP 111 Ispravak vrijednosti danih zajmova</w:t>
      </w:r>
    </w:p>
    <w:p w:rsidR="00076E84" w:rsidRDefault="00076E84" w:rsidP="00076E84">
      <w:r>
        <w:t>U skladu s člankom 37. Pravilnika o proračunskom računovodstvu i računskom planu kojim su propisani uvjeti i kriteriji za ispravak vrijednosti potraživanja na kraju godine, proveo se ispravak vrijednosti danih zajmova kojima je od dospijeća proteklo više od 3 godine u 100% iznosu i iznosi 8.798.750 kn.</w:t>
      </w:r>
    </w:p>
    <w:p w:rsidR="00076E84" w:rsidRDefault="00076E84" w:rsidP="00076E84">
      <w:r w:rsidRPr="00505402">
        <w:rPr>
          <w:b/>
        </w:rPr>
        <w:t>Bilješka br. 1</w:t>
      </w:r>
      <w:r>
        <w:rPr>
          <w:b/>
        </w:rPr>
        <w:t>6</w:t>
      </w:r>
      <w:r>
        <w:t xml:space="preserve"> – AOP 112 Vrijednosni papiri</w:t>
      </w:r>
    </w:p>
    <w:p w:rsidR="00076E84" w:rsidRDefault="00076E84" w:rsidP="00076E84">
      <w:pPr>
        <w:jc w:val="both"/>
      </w:pPr>
      <w:r>
        <w:t xml:space="preserve">Grad Zagreb raspolaže sa 274.460 EUR-a obveznica trgovačkog društva Lanište d.o.o. (dio INGRA Grupe) te je s 31. prosincem izvršeno je knjigovodstveno usklađenje tržišne vrijednosti s knjigovodstvenom vrijednosti vrijednosnih papira kojima raspolaže Grad Zagreb prema obavijesti Središnje klirinško depozitarne agencije. Tržišna vrijednost obveznica manja je za 1.459.263 kn u </w:t>
      </w:r>
      <w:r>
        <w:lastRenderedPageBreak/>
        <w:t xml:space="preserve">odnosu na prošlogodišnju vrijednost. Razlika predstavlja promjenu u vrijednosti imovine te je evidentirano smanjenje. </w:t>
      </w:r>
    </w:p>
    <w:p w:rsidR="00076E84" w:rsidRDefault="00076E84" w:rsidP="00076E84">
      <w:pPr>
        <w:jc w:val="both"/>
      </w:pPr>
      <w:r>
        <w:t>Ujedno, Grad Zagreb raspolaže i obveznicama stare devizne štednje kojima je plaćen dio otkupljenih stanova na kojima postoji stanarsko pravo u iznosu od 13.264.281 kn i manje je za 1.177.765 kn u odnosu na prošlogodišnje stanje.</w:t>
      </w:r>
    </w:p>
    <w:tbl>
      <w:tblPr>
        <w:tblStyle w:val="TableGrid"/>
        <w:tblW w:w="0" w:type="auto"/>
        <w:tblLook w:val="04A0" w:firstRow="1" w:lastRow="0" w:firstColumn="1" w:lastColumn="0" w:noHBand="0" w:noVBand="1"/>
      </w:tblPr>
      <w:tblGrid>
        <w:gridCol w:w="805"/>
        <w:gridCol w:w="1794"/>
        <w:gridCol w:w="568"/>
        <w:gridCol w:w="1660"/>
        <w:gridCol w:w="1660"/>
        <w:gridCol w:w="1190"/>
        <w:gridCol w:w="1412"/>
      </w:tblGrid>
      <w:tr w:rsidR="00076E84" w:rsidRPr="00774066" w:rsidTr="00CF6359">
        <w:trPr>
          <w:trHeight w:val="600"/>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1190"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12" w:type="dxa"/>
            <w:shd w:val="clear" w:color="auto" w:fill="DEEAF6" w:themeFill="accent1" w:themeFillTint="33"/>
            <w:vAlign w:val="center"/>
            <w:hideMark/>
          </w:tcPr>
          <w:p w:rsidR="00076E84" w:rsidRPr="00774066" w:rsidRDefault="00076E84" w:rsidP="00CF6359">
            <w:pPr>
              <w:jc w:val="center"/>
            </w:pPr>
            <w:r>
              <w:t>Smanjenje</w:t>
            </w:r>
          </w:p>
        </w:tc>
      </w:tr>
      <w:tr w:rsidR="00076E84" w:rsidRPr="00774066" w:rsidTr="00CF6359">
        <w:trPr>
          <w:trHeight w:val="195"/>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119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12" w:type="dxa"/>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0362D3" w:rsidTr="00CF6359">
        <w:trPr>
          <w:trHeight w:val="300"/>
        </w:trPr>
        <w:tc>
          <w:tcPr>
            <w:tcW w:w="0" w:type="auto"/>
            <w:noWrap/>
            <w:vAlign w:val="center"/>
            <w:hideMark/>
          </w:tcPr>
          <w:p w:rsidR="00076E84" w:rsidRPr="000362D3" w:rsidRDefault="00076E84" w:rsidP="00CF6359">
            <w:pPr>
              <w:jc w:val="right"/>
            </w:pPr>
            <w:r>
              <w:t>14</w:t>
            </w:r>
          </w:p>
        </w:tc>
        <w:tc>
          <w:tcPr>
            <w:tcW w:w="0" w:type="auto"/>
            <w:vAlign w:val="center"/>
            <w:hideMark/>
          </w:tcPr>
          <w:p w:rsidR="00076E84" w:rsidRPr="000362D3" w:rsidRDefault="00076E84" w:rsidP="00CF6359">
            <w:r>
              <w:t>Vrijednosni papiri</w:t>
            </w:r>
          </w:p>
        </w:tc>
        <w:tc>
          <w:tcPr>
            <w:tcW w:w="0" w:type="auto"/>
            <w:noWrap/>
            <w:vAlign w:val="center"/>
            <w:hideMark/>
          </w:tcPr>
          <w:p w:rsidR="00076E84" w:rsidRPr="000362D3" w:rsidRDefault="00076E84" w:rsidP="00CF6359">
            <w:pPr>
              <w:jc w:val="right"/>
            </w:pPr>
            <w:r>
              <w:t>112</w:t>
            </w:r>
          </w:p>
        </w:tc>
        <w:tc>
          <w:tcPr>
            <w:tcW w:w="0" w:type="auto"/>
            <w:noWrap/>
            <w:vAlign w:val="center"/>
            <w:hideMark/>
          </w:tcPr>
          <w:p w:rsidR="00076E84" w:rsidRPr="00E26CDE" w:rsidRDefault="00076E84" w:rsidP="00CF6359">
            <w:pPr>
              <w:jc w:val="right"/>
            </w:pPr>
            <w:r>
              <w:t>16.512.615</w:t>
            </w:r>
          </w:p>
        </w:tc>
        <w:tc>
          <w:tcPr>
            <w:tcW w:w="0" w:type="auto"/>
            <w:noWrap/>
            <w:vAlign w:val="center"/>
          </w:tcPr>
          <w:p w:rsidR="00076E84" w:rsidRDefault="00076E84" w:rsidP="00CF6359">
            <w:pPr>
              <w:jc w:val="right"/>
            </w:pPr>
            <w:r>
              <w:t>13.875.587</w:t>
            </w:r>
          </w:p>
        </w:tc>
        <w:tc>
          <w:tcPr>
            <w:tcW w:w="1190" w:type="dxa"/>
            <w:noWrap/>
            <w:vAlign w:val="center"/>
          </w:tcPr>
          <w:p w:rsidR="00076E84" w:rsidRPr="003F015E" w:rsidRDefault="00076E84" w:rsidP="00CF6359">
            <w:pPr>
              <w:jc w:val="center"/>
            </w:pPr>
            <w:r>
              <w:t>84,0</w:t>
            </w:r>
          </w:p>
        </w:tc>
        <w:tc>
          <w:tcPr>
            <w:tcW w:w="1412" w:type="dxa"/>
            <w:noWrap/>
            <w:vAlign w:val="center"/>
          </w:tcPr>
          <w:p w:rsidR="00076E84" w:rsidRDefault="00076E84" w:rsidP="00CF6359">
            <w:pPr>
              <w:jc w:val="right"/>
            </w:pPr>
            <w:r>
              <w:t>2.637.028</w:t>
            </w:r>
          </w:p>
        </w:tc>
      </w:tr>
    </w:tbl>
    <w:p w:rsidR="00076E84" w:rsidRDefault="00076E84" w:rsidP="00076E84">
      <w:pPr>
        <w:spacing w:after="0"/>
        <w:rPr>
          <w:b/>
        </w:rPr>
      </w:pPr>
    </w:p>
    <w:p w:rsidR="00076E84" w:rsidRDefault="00076E84" w:rsidP="00076E84">
      <w:r w:rsidRPr="00505402">
        <w:rPr>
          <w:b/>
        </w:rPr>
        <w:t>Bilješka br. 1</w:t>
      </w:r>
      <w:r>
        <w:rPr>
          <w:b/>
        </w:rPr>
        <w:t>7</w:t>
      </w:r>
      <w:r>
        <w:t xml:space="preserve"> – AOP 128 Dionice i udjeli u glavnici </w:t>
      </w:r>
    </w:p>
    <w:p w:rsidR="00076E84" w:rsidRDefault="00076E84" w:rsidP="00076E84">
      <w:pPr>
        <w:jc w:val="both"/>
      </w:pPr>
      <w:r>
        <w:t xml:space="preserve">S 31. prosincem izvršeno je knjigovodstveno usklađenje tržišne vrijednosti vrijednosnih papira kojima raspolaže Grad Zagreb prema obavijesti Središnje klirinško depozitarne agencije gdje je tržišna vrijednost dionica koje kotiraju na tržištu kapitala veća za 30.400 kn u odnosu na prošlogodišnju vrijednost. </w:t>
      </w:r>
    </w:p>
    <w:p w:rsidR="00076E84" w:rsidRDefault="00076E84" w:rsidP="00076E84">
      <w:r>
        <w:t>Vrijednost stanja udjela Grada u trgovačkim društvima i institucijama iznosi:</w:t>
      </w:r>
    </w:p>
    <w:tbl>
      <w:tblPr>
        <w:tblW w:w="9062" w:type="dxa"/>
        <w:jc w:val="center"/>
        <w:tblLook w:val="04A0" w:firstRow="1" w:lastRow="0" w:firstColumn="1" w:lastColumn="0" w:noHBand="0" w:noVBand="1"/>
      </w:tblPr>
      <w:tblGrid>
        <w:gridCol w:w="4531"/>
        <w:gridCol w:w="1005"/>
        <w:gridCol w:w="1270"/>
        <w:gridCol w:w="2256"/>
      </w:tblGrid>
      <w:tr w:rsidR="00076E84" w:rsidRPr="00617756" w:rsidTr="00CF6359">
        <w:trPr>
          <w:trHeight w:val="675"/>
          <w:jc w:val="center"/>
        </w:trPr>
        <w:tc>
          <w:tcPr>
            <w:tcW w:w="4531" w:type="dxa"/>
            <w:tcBorders>
              <w:top w:val="single" w:sz="4" w:space="0" w:color="auto"/>
              <w:left w:val="single" w:sz="4" w:space="0" w:color="auto"/>
              <w:bottom w:val="single" w:sz="4" w:space="0" w:color="auto"/>
              <w:right w:val="nil"/>
            </w:tcBorders>
            <w:shd w:val="clear" w:color="auto" w:fill="DEEAF6" w:themeFill="accent1" w:themeFillTint="33"/>
            <w:noWrap/>
            <w:vAlign w:val="center"/>
            <w:hideMark/>
          </w:tcPr>
          <w:p w:rsidR="00076E84" w:rsidRPr="00617756" w:rsidRDefault="00076E84" w:rsidP="00CF6359">
            <w:pPr>
              <w:spacing w:after="0" w:line="240" w:lineRule="auto"/>
              <w:jc w:val="center"/>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OPIS</w:t>
            </w:r>
          </w:p>
        </w:tc>
        <w:tc>
          <w:tcPr>
            <w:tcW w:w="10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76E84" w:rsidRPr="00617756" w:rsidRDefault="00076E84" w:rsidP="00CF6359">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Kol.</w:t>
            </w:r>
          </w:p>
        </w:tc>
        <w:tc>
          <w:tcPr>
            <w:tcW w:w="1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76E84" w:rsidRPr="00617756" w:rsidRDefault="00076E84" w:rsidP="00CF6359">
            <w:pPr>
              <w:spacing w:after="0" w:line="240" w:lineRule="auto"/>
              <w:jc w:val="center"/>
              <w:rPr>
                <w:rFonts w:ascii="Calibri" w:eastAsia="Times New Roman" w:hAnsi="Calibri" w:cs="Calibri"/>
                <w:b/>
                <w:bCs/>
                <w:color w:val="000000"/>
                <w:sz w:val="16"/>
                <w:szCs w:val="16"/>
                <w:lang w:eastAsia="hr-HR"/>
              </w:rPr>
            </w:pPr>
            <w:r w:rsidRPr="00617756">
              <w:rPr>
                <w:rFonts w:ascii="Calibri" w:eastAsia="Times New Roman" w:hAnsi="Calibri" w:cs="Calibri"/>
                <w:b/>
                <w:bCs/>
                <w:color w:val="000000"/>
                <w:sz w:val="16"/>
                <w:szCs w:val="16"/>
                <w:lang w:eastAsia="hr-HR"/>
              </w:rPr>
              <w:t>Udio u vlasništvu (%)</w:t>
            </w:r>
          </w:p>
        </w:tc>
        <w:tc>
          <w:tcPr>
            <w:tcW w:w="225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076E84" w:rsidRPr="00617756" w:rsidRDefault="00076E84" w:rsidP="00CF6359">
            <w:pPr>
              <w:spacing w:after="0" w:line="240" w:lineRule="auto"/>
              <w:jc w:val="center"/>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Stanje na dan                   31.12.201</w:t>
            </w:r>
            <w:r>
              <w:rPr>
                <w:rFonts w:ascii="Calibri" w:eastAsia="Times New Roman" w:hAnsi="Calibri" w:cs="Calibri"/>
                <w:b/>
                <w:bCs/>
                <w:color w:val="000000"/>
                <w:lang w:eastAsia="hr-HR"/>
              </w:rPr>
              <w:t>8</w:t>
            </w:r>
            <w:r w:rsidRPr="00617756">
              <w:rPr>
                <w:rFonts w:ascii="Calibri" w:eastAsia="Times New Roman" w:hAnsi="Calibri" w:cs="Calibri"/>
                <w:b/>
                <w:bCs/>
                <w:color w:val="000000"/>
                <w:lang w:eastAsia="hr-HR"/>
              </w:rPr>
              <w:t>.</w:t>
            </w:r>
          </w:p>
        </w:tc>
      </w:tr>
      <w:tr w:rsidR="00076E84" w:rsidRPr="00617756" w:rsidTr="00CF6359">
        <w:trPr>
          <w:trHeight w:val="225"/>
          <w:jc w:val="center"/>
        </w:trPr>
        <w:tc>
          <w:tcPr>
            <w:tcW w:w="4531" w:type="dxa"/>
            <w:tcBorders>
              <w:top w:val="single" w:sz="4" w:space="0" w:color="auto"/>
              <w:left w:val="single" w:sz="4" w:space="0" w:color="auto"/>
              <w:bottom w:val="single" w:sz="4" w:space="0" w:color="auto"/>
              <w:right w:val="nil"/>
            </w:tcBorders>
            <w:shd w:val="clear" w:color="auto" w:fill="DEEAF6" w:themeFill="accent1" w:themeFillTint="33"/>
            <w:noWrap/>
            <w:vAlign w:val="bottom"/>
            <w:hideMark/>
          </w:tcPr>
          <w:p w:rsidR="00076E84" w:rsidRPr="00617756" w:rsidRDefault="00076E84" w:rsidP="00CF6359">
            <w:pPr>
              <w:spacing w:after="0" w:line="240" w:lineRule="auto"/>
              <w:jc w:val="center"/>
              <w:rPr>
                <w:rFonts w:ascii="Calibri" w:eastAsia="Times New Roman" w:hAnsi="Calibri" w:cs="Calibri"/>
                <w:color w:val="000000"/>
                <w:sz w:val="16"/>
                <w:szCs w:val="16"/>
                <w:lang w:eastAsia="hr-HR"/>
              </w:rPr>
            </w:pPr>
            <w:r w:rsidRPr="00617756">
              <w:rPr>
                <w:rFonts w:ascii="Calibri" w:eastAsia="Times New Roman" w:hAnsi="Calibri" w:cs="Calibri"/>
                <w:color w:val="000000"/>
                <w:sz w:val="16"/>
                <w:szCs w:val="16"/>
                <w:lang w:eastAsia="hr-HR"/>
              </w:rPr>
              <w:t>1</w:t>
            </w:r>
          </w:p>
        </w:tc>
        <w:tc>
          <w:tcPr>
            <w:tcW w:w="1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6E84" w:rsidRPr="00617756" w:rsidRDefault="00076E84" w:rsidP="00CF6359">
            <w:pPr>
              <w:spacing w:after="0" w:line="240" w:lineRule="auto"/>
              <w:jc w:val="center"/>
              <w:rPr>
                <w:rFonts w:ascii="Calibri" w:eastAsia="Times New Roman" w:hAnsi="Calibri" w:cs="Calibri"/>
                <w:color w:val="000000"/>
                <w:sz w:val="16"/>
                <w:szCs w:val="16"/>
                <w:lang w:eastAsia="hr-HR"/>
              </w:rPr>
            </w:pPr>
          </w:p>
        </w:tc>
        <w:tc>
          <w:tcPr>
            <w:tcW w:w="127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rsidR="00076E84" w:rsidRPr="00617756" w:rsidRDefault="00076E84" w:rsidP="00CF6359">
            <w:pPr>
              <w:spacing w:after="0" w:line="240" w:lineRule="auto"/>
              <w:jc w:val="center"/>
              <w:rPr>
                <w:rFonts w:ascii="Calibri" w:eastAsia="Times New Roman" w:hAnsi="Calibri" w:cs="Calibri"/>
                <w:color w:val="000000"/>
                <w:sz w:val="16"/>
                <w:szCs w:val="16"/>
                <w:lang w:eastAsia="hr-HR"/>
              </w:rPr>
            </w:pPr>
            <w:r w:rsidRPr="00617756">
              <w:rPr>
                <w:rFonts w:ascii="Calibri" w:eastAsia="Times New Roman" w:hAnsi="Calibri" w:cs="Calibri"/>
                <w:color w:val="000000"/>
                <w:sz w:val="16"/>
                <w:szCs w:val="16"/>
                <w:lang w:eastAsia="hr-HR"/>
              </w:rPr>
              <w:t>2</w:t>
            </w:r>
          </w:p>
        </w:tc>
        <w:tc>
          <w:tcPr>
            <w:tcW w:w="2256"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076E84" w:rsidRPr="00617756" w:rsidRDefault="00076E84" w:rsidP="00CF6359">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r>
      <w:tr w:rsidR="00076E84" w:rsidRPr="00617756" w:rsidTr="00CF6359">
        <w:trPr>
          <w:trHeight w:val="600"/>
          <w:jc w:val="center"/>
        </w:trPr>
        <w:tc>
          <w:tcPr>
            <w:tcW w:w="4531" w:type="dxa"/>
            <w:tcBorders>
              <w:top w:val="single" w:sz="4" w:space="0" w:color="auto"/>
              <w:left w:val="single" w:sz="4" w:space="0" w:color="auto"/>
              <w:bottom w:val="single" w:sz="4" w:space="0" w:color="auto"/>
              <w:right w:val="nil"/>
            </w:tcBorders>
            <w:shd w:val="clear" w:color="000000" w:fill="FFFFFF" w:themeFill="background1"/>
            <w:vAlign w:val="bottom"/>
            <w:hideMark/>
          </w:tcPr>
          <w:p w:rsidR="00076E84" w:rsidRPr="00617756" w:rsidRDefault="00076E84" w:rsidP="00CF6359">
            <w:pPr>
              <w:spacing w:after="0" w:line="240" w:lineRule="auto"/>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Dionice i udjeli u glavnici trgovačkih društava u javnom sektoru</w:t>
            </w:r>
          </w:p>
        </w:tc>
        <w:tc>
          <w:tcPr>
            <w:tcW w:w="1005" w:type="dxa"/>
            <w:tcBorders>
              <w:top w:val="single" w:sz="4" w:space="0" w:color="auto"/>
              <w:left w:val="single" w:sz="4" w:space="0" w:color="auto"/>
              <w:bottom w:val="single" w:sz="4" w:space="0" w:color="auto"/>
              <w:right w:val="single" w:sz="4" w:space="0" w:color="auto"/>
            </w:tcBorders>
            <w:shd w:val="clear" w:color="000000" w:fill="FFFFFF" w:themeFill="background1"/>
          </w:tcPr>
          <w:p w:rsidR="00076E84" w:rsidRPr="00617756" w:rsidRDefault="00076E84" w:rsidP="00CF6359">
            <w:pPr>
              <w:spacing w:after="0" w:line="240" w:lineRule="auto"/>
              <w:rPr>
                <w:rFonts w:ascii="Calibri" w:eastAsia="Times New Roman" w:hAnsi="Calibri" w:cs="Calibri"/>
                <w:b/>
                <w:bCs/>
                <w:color w:val="000000"/>
                <w:lang w:eastAsia="hr-HR"/>
              </w:rPr>
            </w:pPr>
          </w:p>
        </w:tc>
        <w:tc>
          <w:tcPr>
            <w:tcW w:w="127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76E84" w:rsidRPr="00617756" w:rsidRDefault="00076E84" w:rsidP="00CF6359">
            <w:pPr>
              <w:spacing w:after="0" w:line="240" w:lineRule="auto"/>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 </w:t>
            </w:r>
          </w:p>
        </w:tc>
        <w:tc>
          <w:tcPr>
            <w:tcW w:w="225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076E84" w:rsidRPr="00617756" w:rsidRDefault="00076E84" w:rsidP="00CF6359">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4.368.58</w:t>
            </w:r>
            <w:r w:rsidRPr="00617756">
              <w:rPr>
                <w:rFonts w:ascii="Calibri" w:eastAsia="Times New Roman" w:hAnsi="Calibri" w:cs="Calibri"/>
                <w:b/>
                <w:bCs/>
                <w:color w:val="000000"/>
                <w:lang w:eastAsia="hr-HR"/>
              </w:rPr>
              <w:t>4.</w:t>
            </w:r>
            <w:r>
              <w:rPr>
                <w:rFonts w:ascii="Calibri" w:eastAsia="Times New Roman" w:hAnsi="Calibri" w:cs="Calibri"/>
                <w:b/>
                <w:bCs/>
                <w:color w:val="000000"/>
                <w:lang w:eastAsia="hr-HR"/>
              </w:rPr>
              <w:t>45</w:t>
            </w:r>
            <w:r w:rsidRPr="00617756">
              <w:rPr>
                <w:rFonts w:ascii="Calibri" w:eastAsia="Times New Roman" w:hAnsi="Calibri" w:cs="Calibri"/>
                <w:b/>
                <w:bCs/>
                <w:color w:val="000000"/>
                <w:lang w:eastAsia="hr-HR"/>
              </w:rPr>
              <w:t>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Vodoprivreda Zagreb d.d.</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148.926</w:t>
            </w:r>
          </w:p>
        </w:tc>
        <w:tc>
          <w:tcPr>
            <w:tcW w:w="1270" w:type="dxa"/>
            <w:tcBorders>
              <w:top w:val="nil"/>
              <w:left w:val="single" w:sz="4" w:space="0" w:color="333333"/>
              <w:bottom w:val="single" w:sz="4" w:space="0" w:color="333333"/>
              <w:right w:val="single" w:sz="4" w:space="0" w:color="auto"/>
            </w:tcBorders>
            <w:shd w:val="clear" w:color="000000" w:fill="FFFFFF"/>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37,66%</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14.892.600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Zagrebački holding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100,00%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3.177.043.600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Zagrebački velesajam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100,00%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560.241.600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Zagrebački električni tramvaj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100,00%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95.951.000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Zračna luka Zagreb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35,00%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281.550.300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APIS IT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49,00%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238.789.800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Razvojna agencija Zagreb TPZ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100,00%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20.000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TERME Zagreb d.o.o.</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50,00%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10.000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Croatia osiguranje d.d.</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w:t>
            </w: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0,0012%</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30.250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 xml:space="preserve">Bicro biocentar d.o.o. </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13,00%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2.600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Hrvatski telekom d.d.</w:t>
            </w:r>
          </w:p>
        </w:tc>
        <w:tc>
          <w:tcPr>
            <w:tcW w:w="1005" w:type="dxa"/>
            <w:tcBorders>
              <w:top w:val="nil"/>
              <w:left w:val="single" w:sz="4" w:space="0" w:color="333333"/>
              <w:bottom w:val="single" w:sz="4" w:space="0" w:color="333333"/>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138</w:t>
            </w:r>
          </w:p>
        </w:tc>
        <w:tc>
          <w:tcPr>
            <w:tcW w:w="1270" w:type="dxa"/>
            <w:tcBorders>
              <w:top w:val="nil"/>
              <w:left w:val="single" w:sz="4" w:space="0" w:color="333333"/>
              <w:bottom w:val="single" w:sz="4" w:space="0" w:color="333333"/>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0,0002%</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20.700</w:t>
            </w:r>
          </w:p>
        </w:tc>
      </w:tr>
      <w:tr w:rsidR="00076E84" w:rsidRPr="00617756" w:rsidTr="00CF6359">
        <w:trPr>
          <w:trHeight w:val="285"/>
          <w:jc w:val="center"/>
        </w:trPr>
        <w:tc>
          <w:tcPr>
            <w:tcW w:w="4531" w:type="dxa"/>
            <w:tcBorders>
              <w:top w:val="single" w:sz="4" w:space="0" w:color="auto"/>
              <w:left w:val="single" w:sz="4" w:space="0" w:color="auto"/>
              <w:bottom w:val="single" w:sz="4" w:space="0" w:color="auto"/>
              <w:right w:val="nil"/>
            </w:tcBorders>
            <w:shd w:val="clear" w:color="auto" w:fill="auto"/>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Zagrebački centar za gospod. o</w:t>
            </w:r>
            <w:r w:rsidRPr="00617756">
              <w:rPr>
                <w:rFonts w:ascii="Calibri" w:eastAsia="Times New Roman" w:hAnsi="Calibri" w:cs="Calibri"/>
                <w:color w:val="000000"/>
                <w:lang w:eastAsia="hr-HR"/>
              </w:rPr>
              <w:t>tpadom d.o.o.</w:t>
            </w:r>
          </w:p>
        </w:tc>
        <w:tc>
          <w:tcPr>
            <w:tcW w:w="1005" w:type="dxa"/>
            <w:tcBorders>
              <w:top w:val="single" w:sz="4" w:space="0" w:color="auto"/>
              <w:left w:val="single" w:sz="4" w:space="0" w:color="333333"/>
              <w:bottom w:val="single" w:sz="4" w:space="0" w:color="auto"/>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single" w:sz="4" w:space="0" w:color="auto"/>
              <w:left w:val="single" w:sz="4" w:space="0" w:color="333333"/>
              <w:bottom w:val="single" w:sz="4" w:space="0" w:color="auto"/>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sz w:val="20"/>
                <w:szCs w:val="20"/>
                <w:lang w:eastAsia="hr-HR"/>
              </w:rPr>
            </w:pPr>
            <w:r w:rsidRPr="00617756">
              <w:rPr>
                <w:rFonts w:ascii="Calibri" w:eastAsia="Times New Roman" w:hAnsi="Calibri" w:cs="Calibri"/>
                <w:sz w:val="20"/>
                <w:szCs w:val="20"/>
                <w:lang w:eastAsia="hr-HR"/>
              </w:rPr>
              <w:t>100,00%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20.000</w:t>
            </w:r>
          </w:p>
        </w:tc>
      </w:tr>
      <w:tr w:rsidR="00076E84" w:rsidRPr="00617756" w:rsidTr="00CF6359">
        <w:trPr>
          <w:trHeight w:val="300"/>
          <w:jc w:val="center"/>
        </w:trPr>
        <w:tc>
          <w:tcPr>
            <w:tcW w:w="4531" w:type="dxa"/>
            <w:tcBorders>
              <w:top w:val="nil"/>
              <w:left w:val="single" w:sz="4" w:space="0" w:color="333333"/>
              <w:bottom w:val="single" w:sz="4" w:space="0" w:color="auto"/>
              <w:right w:val="single" w:sz="4" w:space="0" w:color="333333"/>
            </w:tcBorders>
            <w:shd w:val="clear" w:color="auto" w:fill="auto"/>
            <w:vAlign w:val="bottom"/>
            <w:hideMark/>
          </w:tcPr>
          <w:p w:rsidR="00076E84" w:rsidRPr="00617756" w:rsidRDefault="00076E84" w:rsidP="00CF6359">
            <w:pPr>
              <w:spacing w:after="0" w:line="240" w:lineRule="auto"/>
              <w:rPr>
                <w:rFonts w:ascii="Calibri" w:eastAsia="Times New Roman" w:hAnsi="Calibri" w:cs="Calibri"/>
                <w:lang w:eastAsia="hr-HR"/>
              </w:rPr>
            </w:pPr>
            <w:r w:rsidRPr="00617756">
              <w:rPr>
                <w:rFonts w:ascii="Calibri" w:eastAsia="Times New Roman" w:hAnsi="Calibri" w:cs="Calibri"/>
                <w:lang w:eastAsia="hr-HR"/>
              </w:rPr>
              <w:t>Integrirani promet zagrebačkog područja d.o.o.</w:t>
            </w:r>
          </w:p>
        </w:tc>
        <w:tc>
          <w:tcPr>
            <w:tcW w:w="1005" w:type="dxa"/>
            <w:tcBorders>
              <w:top w:val="nil"/>
              <w:left w:val="single" w:sz="4" w:space="0" w:color="auto"/>
              <w:bottom w:val="single" w:sz="4" w:space="0" w:color="auto"/>
              <w:right w:val="single" w:sz="4" w:space="0" w:color="auto"/>
            </w:tcBorders>
          </w:tcPr>
          <w:p w:rsidR="00076E84" w:rsidRPr="00617756" w:rsidRDefault="00076E84" w:rsidP="00CF6359">
            <w:pPr>
              <w:spacing w:after="0" w:line="240" w:lineRule="auto"/>
              <w:jc w:val="right"/>
              <w:rPr>
                <w:rFonts w:ascii="Calibri" w:eastAsia="Times New Roman" w:hAnsi="Calibri" w:cs="Calibri"/>
                <w:color w:val="000000"/>
                <w:sz w:val="20"/>
                <w:szCs w:val="20"/>
                <w:lang w:eastAsia="hr-HR"/>
              </w:rPr>
            </w:pPr>
          </w:p>
        </w:tc>
        <w:tc>
          <w:tcPr>
            <w:tcW w:w="1270" w:type="dxa"/>
            <w:tcBorders>
              <w:top w:val="nil"/>
              <w:left w:val="single" w:sz="4" w:space="0" w:color="auto"/>
              <w:bottom w:val="single" w:sz="4" w:space="0" w:color="auto"/>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color w:val="000000"/>
                <w:sz w:val="20"/>
                <w:szCs w:val="20"/>
                <w:lang w:eastAsia="hr-HR"/>
              </w:rPr>
            </w:pPr>
            <w:r w:rsidRPr="00617756">
              <w:rPr>
                <w:rFonts w:ascii="Calibri" w:eastAsia="Times New Roman" w:hAnsi="Calibri" w:cs="Calibri"/>
                <w:color w:val="000000"/>
                <w:sz w:val="20"/>
                <w:szCs w:val="20"/>
                <w:lang w:eastAsia="hr-HR"/>
              </w:rPr>
              <w:t>60,00%</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C56504" w:rsidRDefault="00076E84" w:rsidP="00CF6359">
            <w:pPr>
              <w:spacing w:after="0" w:line="240" w:lineRule="auto"/>
              <w:jc w:val="right"/>
              <w:rPr>
                <w:rFonts w:ascii="Calibri" w:eastAsia="Times New Roman" w:hAnsi="Calibri" w:cs="Calibri"/>
                <w:color w:val="000000"/>
                <w:lang w:eastAsia="hr-HR"/>
              </w:rPr>
            </w:pPr>
            <w:r w:rsidRPr="00C56504">
              <w:rPr>
                <w:rFonts w:ascii="Calibri" w:eastAsia="Times New Roman" w:hAnsi="Calibri" w:cs="Calibri"/>
                <w:color w:val="000000"/>
                <w:lang w:eastAsia="hr-HR"/>
              </w:rPr>
              <w:t>12.000</w:t>
            </w:r>
          </w:p>
        </w:tc>
      </w:tr>
      <w:tr w:rsidR="00076E84" w:rsidRPr="00617756" w:rsidTr="00CF6359">
        <w:trPr>
          <w:trHeight w:val="600"/>
          <w:jc w:val="center"/>
        </w:trPr>
        <w:tc>
          <w:tcPr>
            <w:tcW w:w="4531" w:type="dxa"/>
            <w:tcBorders>
              <w:top w:val="single" w:sz="4" w:space="0" w:color="auto"/>
              <w:left w:val="single" w:sz="4" w:space="0" w:color="auto"/>
              <w:bottom w:val="single" w:sz="4" w:space="0" w:color="auto"/>
              <w:right w:val="nil"/>
            </w:tcBorders>
            <w:shd w:val="clear" w:color="000000" w:fill="FFFFFF" w:themeFill="background1"/>
            <w:vAlign w:val="bottom"/>
            <w:hideMark/>
          </w:tcPr>
          <w:p w:rsidR="00076E84" w:rsidRPr="00617756" w:rsidRDefault="00076E84" w:rsidP="00CF6359">
            <w:pPr>
              <w:spacing w:after="0" w:line="240" w:lineRule="auto"/>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Dionice i udjeli u glavnici tuzemnih trgovačkih društava izvan javnog sektora</w:t>
            </w:r>
          </w:p>
        </w:tc>
        <w:tc>
          <w:tcPr>
            <w:tcW w:w="1005" w:type="dxa"/>
            <w:tcBorders>
              <w:top w:val="single" w:sz="4" w:space="0" w:color="auto"/>
              <w:left w:val="single" w:sz="4" w:space="0" w:color="auto"/>
              <w:bottom w:val="single" w:sz="4" w:space="0" w:color="auto"/>
              <w:right w:val="single" w:sz="4" w:space="0" w:color="auto"/>
            </w:tcBorders>
            <w:shd w:val="clear" w:color="000000" w:fill="FFFFFF" w:themeFill="background1"/>
          </w:tcPr>
          <w:p w:rsidR="00076E84" w:rsidRPr="00617756" w:rsidRDefault="00076E84" w:rsidP="00CF6359">
            <w:pPr>
              <w:spacing w:after="0" w:line="240" w:lineRule="auto"/>
              <w:rPr>
                <w:rFonts w:ascii="Calibri" w:eastAsia="Times New Roman" w:hAnsi="Calibri" w:cs="Calibri"/>
                <w:b/>
                <w:bCs/>
                <w:color w:val="000000"/>
                <w:lang w:eastAsia="hr-HR"/>
              </w:rPr>
            </w:pPr>
          </w:p>
        </w:tc>
        <w:tc>
          <w:tcPr>
            <w:tcW w:w="127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076E84" w:rsidRPr="00617756" w:rsidRDefault="00076E84" w:rsidP="00CF6359">
            <w:pPr>
              <w:spacing w:after="0" w:line="240" w:lineRule="auto"/>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 </w:t>
            </w:r>
          </w:p>
        </w:tc>
        <w:tc>
          <w:tcPr>
            <w:tcW w:w="225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076E84" w:rsidRPr="00617756" w:rsidRDefault="00076E84" w:rsidP="00CF6359">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31.296.420</w:t>
            </w:r>
          </w:p>
        </w:tc>
      </w:tr>
      <w:tr w:rsidR="00076E84" w:rsidRPr="00617756" w:rsidTr="00CF6359">
        <w:trPr>
          <w:trHeight w:val="285"/>
          <w:jc w:val="center"/>
        </w:trPr>
        <w:tc>
          <w:tcPr>
            <w:tcW w:w="4531" w:type="dxa"/>
            <w:tcBorders>
              <w:top w:val="nil"/>
              <w:left w:val="single" w:sz="4" w:space="0" w:color="auto"/>
              <w:bottom w:val="single" w:sz="4" w:space="0" w:color="auto"/>
              <w:right w:val="nil"/>
            </w:tcBorders>
            <w:shd w:val="clear" w:color="auto" w:fill="auto"/>
            <w:vAlign w:val="bottom"/>
          </w:tcPr>
          <w:p w:rsidR="00076E84" w:rsidRPr="00617756" w:rsidRDefault="00076E84" w:rsidP="00CF6359">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MORSKI LAV d.o.o.</w:t>
            </w:r>
          </w:p>
        </w:tc>
        <w:tc>
          <w:tcPr>
            <w:tcW w:w="1005" w:type="dxa"/>
            <w:tcBorders>
              <w:top w:val="nil"/>
              <w:left w:val="single" w:sz="4" w:space="0" w:color="333333"/>
              <w:bottom w:val="single" w:sz="4" w:space="0" w:color="auto"/>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1270" w:type="dxa"/>
            <w:tcBorders>
              <w:top w:val="nil"/>
              <w:left w:val="single" w:sz="4" w:space="0" w:color="333333"/>
              <w:bottom w:val="single" w:sz="4" w:space="0" w:color="auto"/>
              <w:right w:val="single" w:sz="4" w:space="0" w:color="auto"/>
            </w:tcBorders>
            <w:shd w:val="clear" w:color="auto" w:fill="auto"/>
            <w:noWrap/>
            <w:vAlign w:val="bottom"/>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2256" w:type="dxa"/>
            <w:tcBorders>
              <w:top w:val="nil"/>
              <w:left w:val="nil"/>
              <w:bottom w:val="single" w:sz="4" w:space="0" w:color="auto"/>
              <w:right w:val="single" w:sz="4" w:space="0" w:color="auto"/>
            </w:tcBorders>
            <w:shd w:val="clear" w:color="auto" w:fill="auto"/>
            <w:noWrap/>
            <w:vAlign w:val="bottom"/>
          </w:tcPr>
          <w:p w:rsidR="00076E84" w:rsidRPr="00617756"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10.200</w:t>
            </w:r>
          </w:p>
        </w:tc>
      </w:tr>
      <w:tr w:rsidR="00076E84" w:rsidRPr="00617756" w:rsidTr="00CF6359">
        <w:trPr>
          <w:trHeight w:val="285"/>
          <w:jc w:val="center"/>
        </w:trPr>
        <w:tc>
          <w:tcPr>
            <w:tcW w:w="4531" w:type="dxa"/>
            <w:tcBorders>
              <w:top w:val="nil"/>
              <w:left w:val="single" w:sz="4" w:space="0" w:color="auto"/>
              <w:bottom w:val="single" w:sz="4" w:space="0" w:color="auto"/>
              <w:right w:val="nil"/>
            </w:tcBorders>
            <w:shd w:val="clear" w:color="auto" w:fill="auto"/>
            <w:vAlign w:val="bottom"/>
          </w:tcPr>
          <w:p w:rsidR="00076E84" w:rsidRDefault="00076E84" w:rsidP="00CF6359">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Industrogradnja grupa d.d.</w:t>
            </w:r>
          </w:p>
        </w:tc>
        <w:tc>
          <w:tcPr>
            <w:tcW w:w="1005" w:type="dxa"/>
            <w:tcBorders>
              <w:top w:val="nil"/>
              <w:left w:val="single" w:sz="4" w:space="0" w:color="333333"/>
              <w:bottom w:val="single" w:sz="4" w:space="0" w:color="auto"/>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25215</w:t>
            </w:r>
          </w:p>
        </w:tc>
        <w:tc>
          <w:tcPr>
            <w:tcW w:w="1270" w:type="dxa"/>
            <w:tcBorders>
              <w:top w:val="nil"/>
              <w:left w:val="single" w:sz="4" w:space="0" w:color="333333"/>
              <w:bottom w:val="single" w:sz="4" w:space="0" w:color="auto"/>
              <w:right w:val="single" w:sz="4" w:space="0" w:color="auto"/>
            </w:tcBorders>
            <w:shd w:val="clear" w:color="auto" w:fill="auto"/>
            <w:noWrap/>
            <w:vAlign w:val="bottom"/>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2256" w:type="dxa"/>
            <w:tcBorders>
              <w:top w:val="nil"/>
              <w:left w:val="nil"/>
              <w:bottom w:val="single" w:sz="4" w:space="0" w:color="auto"/>
              <w:right w:val="single" w:sz="4" w:space="0" w:color="auto"/>
            </w:tcBorders>
            <w:shd w:val="clear" w:color="auto" w:fill="auto"/>
            <w:noWrap/>
            <w:vAlign w:val="bottom"/>
          </w:tcPr>
          <w:p w:rsidR="00076E84"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25.215.000</w:t>
            </w:r>
          </w:p>
        </w:tc>
      </w:tr>
      <w:tr w:rsidR="00076E84" w:rsidRPr="00617756" w:rsidTr="00CF6359">
        <w:trPr>
          <w:trHeight w:val="285"/>
          <w:jc w:val="center"/>
        </w:trPr>
        <w:tc>
          <w:tcPr>
            <w:tcW w:w="4531" w:type="dxa"/>
            <w:tcBorders>
              <w:top w:val="nil"/>
              <w:left w:val="single" w:sz="4" w:space="0" w:color="auto"/>
              <w:bottom w:val="single" w:sz="4" w:space="0" w:color="auto"/>
              <w:right w:val="nil"/>
            </w:tcBorders>
            <w:shd w:val="clear" w:color="auto" w:fill="auto"/>
            <w:vAlign w:val="bottom"/>
          </w:tcPr>
          <w:p w:rsidR="00076E84" w:rsidRDefault="00076E84" w:rsidP="00CF6359">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Magma d.d.</w:t>
            </w:r>
          </w:p>
        </w:tc>
        <w:tc>
          <w:tcPr>
            <w:tcW w:w="1005" w:type="dxa"/>
            <w:tcBorders>
              <w:top w:val="nil"/>
              <w:left w:val="single" w:sz="4" w:space="0" w:color="333333"/>
              <w:bottom w:val="single" w:sz="4" w:space="0" w:color="auto"/>
              <w:right w:val="single" w:sz="4" w:space="0" w:color="333333"/>
            </w:tcBorders>
          </w:tcPr>
          <w:p w:rsidR="00076E84" w:rsidRPr="00617756" w:rsidRDefault="00076E84" w:rsidP="00CF6359">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607122</w:t>
            </w:r>
          </w:p>
        </w:tc>
        <w:tc>
          <w:tcPr>
            <w:tcW w:w="1270" w:type="dxa"/>
            <w:tcBorders>
              <w:top w:val="nil"/>
              <w:left w:val="single" w:sz="4" w:space="0" w:color="333333"/>
              <w:bottom w:val="single" w:sz="4" w:space="0" w:color="auto"/>
              <w:right w:val="single" w:sz="4" w:space="0" w:color="auto"/>
            </w:tcBorders>
            <w:shd w:val="clear" w:color="auto" w:fill="auto"/>
            <w:noWrap/>
            <w:vAlign w:val="bottom"/>
          </w:tcPr>
          <w:p w:rsidR="00076E84" w:rsidRPr="00617756" w:rsidRDefault="00076E84" w:rsidP="00CF6359">
            <w:pPr>
              <w:spacing w:after="0" w:line="240" w:lineRule="auto"/>
              <w:jc w:val="right"/>
              <w:rPr>
                <w:rFonts w:ascii="Calibri" w:eastAsia="Times New Roman" w:hAnsi="Calibri" w:cs="Calibri"/>
                <w:sz w:val="20"/>
                <w:szCs w:val="20"/>
                <w:lang w:eastAsia="hr-HR"/>
              </w:rPr>
            </w:pPr>
          </w:p>
        </w:tc>
        <w:tc>
          <w:tcPr>
            <w:tcW w:w="2256" w:type="dxa"/>
            <w:tcBorders>
              <w:top w:val="nil"/>
              <w:left w:val="nil"/>
              <w:bottom w:val="single" w:sz="4" w:space="0" w:color="auto"/>
              <w:right w:val="single" w:sz="4" w:space="0" w:color="auto"/>
            </w:tcBorders>
            <w:shd w:val="clear" w:color="auto" w:fill="auto"/>
            <w:noWrap/>
            <w:vAlign w:val="bottom"/>
          </w:tcPr>
          <w:p w:rsidR="00076E84"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6.071.220</w:t>
            </w:r>
          </w:p>
        </w:tc>
      </w:tr>
      <w:tr w:rsidR="00076E84" w:rsidRPr="00617756" w:rsidTr="00CF6359">
        <w:trPr>
          <w:trHeight w:val="585"/>
          <w:jc w:val="center"/>
        </w:trPr>
        <w:tc>
          <w:tcPr>
            <w:tcW w:w="4531" w:type="dxa"/>
            <w:tcBorders>
              <w:top w:val="single" w:sz="4" w:space="0" w:color="auto"/>
              <w:left w:val="single" w:sz="4" w:space="0" w:color="auto"/>
              <w:bottom w:val="single" w:sz="4" w:space="0" w:color="auto"/>
              <w:right w:val="nil"/>
            </w:tcBorders>
            <w:shd w:val="clear" w:color="000000" w:fill="FFFFFF" w:themeFill="background1"/>
            <w:vAlign w:val="bottom"/>
            <w:hideMark/>
          </w:tcPr>
          <w:p w:rsidR="00076E84" w:rsidRPr="00617756" w:rsidRDefault="00076E84" w:rsidP="00CF6359">
            <w:pPr>
              <w:spacing w:after="0" w:line="240" w:lineRule="auto"/>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Dionice i udjeli u glavnici tuzemnih kreditnih institucija izvan javnog sektora</w:t>
            </w:r>
          </w:p>
        </w:tc>
        <w:tc>
          <w:tcPr>
            <w:tcW w:w="1005" w:type="dxa"/>
            <w:tcBorders>
              <w:top w:val="single" w:sz="4" w:space="0" w:color="auto"/>
              <w:left w:val="single" w:sz="4" w:space="0" w:color="auto"/>
              <w:bottom w:val="single" w:sz="4" w:space="0" w:color="auto"/>
              <w:right w:val="single" w:sz="4" w:space="0" w:color="auto"/>
            </w:tcBorders>
            <w:shd w:val="clear" w:color="000000" w:fill="FFFFFF" w:themeFill="background1"/>
          </w:tcPr>
          <w:p w:rsidR="00076E84" w:rsidRPr="00617756" w:rsidRDefault="00076E84" w:rsidP="00CF6359">
            <w:pPr>
              <w:spacing w:after="0" w:line="240" w:lineRule="auto"/>
              <w:rPr>
                <w:rFonts w:ascii="Calibri" w:eastAsia="Times New Roman" w:hAnsi="Calibri" w:cs="Calibri"/>
                <w:b/>
                <w:bCs/>
                <w:color w:val="000000"/>
                <w:lang w:eastAsia="hr-HR"/>
              </w:rPr>
            </w:pPr>
          </w:p>
        </w:tc>
        <w:tc>
          <w:tcPr>
            <w:tcW w:w="1270"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rsidR="00076E84" w:rsidRPr="00617756" w:rsidRDefault="00076E84" w:rsidP="00CF6359">
            <w:pPr>
              <w:spacing w:after="0" w:line="240" w:lineRule="auto"/>
              <w:rPr>
                <w:rFonts w:ascii="Calibri" w:eastAsia="Times New Roman" w:hAnsi="Calibri" w:cs="Calibri"/>
                <w:b/>
                <w:bCs/>
                <w:color w:val="000000"/>
                <w:lang w:eastAsia="hr-HR"/>
              </w:rPr>
            </w:pPr>
            <w:r w:rsidRPr="00617756">
              <w:rPr>
                <w:rFonts w:ascii="Calibri" w:eastAsia="Times New Roman" w:hAnsi="Calibri" w:cs="Calibri"/>
                <w:b/>
                <w:bCs/>
                <w:color w:val="000000"/>
                <w:lang w:eastAsia="hr-HR"/>
              </w:rPr>
              <w:t> </w:t>
            </w:r>
          </w:p>
        </w:tc>
        <w:tc>
          <w:tcPr>
            <w:tcW w:w="225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076E84" w:rsidRPr="00617756" w:rsidRDefault="00076E84" w:rsidP="00CF6359">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136.740</w:t>
            </w:r>
          </w:p>
        </w:tc>
      </w:tr>
      <w:tr w:rsidR="00076E84" w:rsidRPr="00617756" w:rsidTr="00CF6359">
        <w:trPr>
          <w:trHeight w:val="300"/>
          <w:jc w:val="center"/>
        </w:trPr>
        <w:tc>
          <w:tcPr>
            <w:tcW w:w="4531" w:type="dxa"/>
            <w:tcBorders>
              <w:top w:val="nil"/>
              <w:left w:val="single" w:sz="4" w:space="0" w:color="auto"/>
              <w:bottom w:val="single" w:sz="4" w:space="0" w:color="auto"/>
              <w:right w:val="nil"/>
            </w:tcBorders>
            <w:shd w:val="clear" w:color="auto" w:fill="auto"/>
            <w:noWrap/>
            <w:vAlign w:val="bottom"/>
            <w:hideMark/>
          </w:tcPr>
          <w:p w:rsidR="00076E84" w:rsidRPr="00617756" w:rsidRDefault="00076E84" w:rsidP="00CF6359">
            <w:pPr>
              <w:spacing w:after="0" w:line="240" w:lineRule="auto"/>
              <w:rPr>
                <w:rFonts w:ascii="Calibri" w:eastAsia="Times New Roman" w:hAnsi="Calibri" w:cs="Calibri"/>
                <w:color w:val="000000"/>
                <w:lang w:eastAsia="hr-HR"/>
              </w:rPr>
            </w:pPr>
            <w:r w:rsidRPr="00617756">
              <w:rPr>
                <w:rFonts w:ascii="Calibri" w:eastAsia="Times New Roman" w:hAnsi="Calibri" w:cs="Calibri"/>
                <w:color w:val="000000"/>
                <w:lang w:eastAsia="hr-HR"/>
              </w:rPr>
              <w:t>Samoborska banka d.d.</w:t>
            </w:r>
          </w:p>
        </w:tc>
        <w:tc>
          <w:tcPr>
            <w:tcW w:w="1005" w:type="dxa"/>
            <w:tcBorders>
              <w:top w:val="nil"/>
              <w:left w:val="single" w:sz="4" w:space="0" w:color="auto"/>
              <w:bottom w:val="single" w:sz="4" w:space="0" w:color="auto"/>
              <w:right w:val="single" w:sz="4" w:space="0" w:color="auto"/>
            </w:tcBorders>
          </w:tcPr>
          <w:p w:rsidR="00076E84" w:rsidRPr="00617756" w:rsidRDefault="00076E84" w:rsidP="00CF6359">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86</w:t>
            </w:r>
          </w:p>
        </w:tc>
        <w:tc>
          <w:tcPr>
            <w:tcW w:w="1270" w:type="dxa"/>
            <w:tcBorders>
              <w:top w:val="nil"/>
              <w:left w:val="single" w:sz="4" w:space="0" w:color="auto"/>
              <w:bottom w:val="single" w:sz="4" w:space="0" w:color="auto"/>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color w:val="000000"/>
                <w:sz w:val="20"/>
                <w:szCs w:val="20"/>
                <w:lang w:eastAsia="hr-HR"/>
              </w:rPr>
            </w:pPr>
            <w:r w:rsidRPr="00617756">
              <w:rPr>
                <w:rFonts w:ascii="Calibri" w:eastAsia="Times New Roman" w:hAnsi="Calibri" w:cs="Calibri"/>
                <w:color w:val="000000"/>
                <w:sz w:val="20"/>
                <w:szCs w:val="20"/>
                <w:lang w:eastAsia="hr-HR"/>
              </w:rPr>
              <w:t>0,1222%</w:t>
            </w:r>
          </w:p>
        </w:tc>
        <w:tc>
          <w:tcPr>
            <w:tcW w:w="2256" w:type="dxa"/>
            <w:tcBorders>
              <w:top w:val="nil"/>
              <w:left w:val="nil"/>
              <w:bottom w:val="single" w:sz="4" w:space="0" w:color="auto"/>
              <w:right w:val="single" w:sz="4" w:space="0" w:color="auto"/>
            </w:tcBorders>
            <w:shd w:val="clear" w:color="auto" w:fill="auto"/>
            <w:noWrap/>
            <w:vAlign w:val="bottom"/>
            <w:hideMark/>
          </w:tcPr>
          <w:p w:rsidR="00076E84" w:rsidRPr="00617756"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136.740</w:t>
            </w:r>
          </w:p>
        </w:tc>
      </w:tr>
    </w:tbl>
    <w:p w:rsidR="00076E84" w:rsidRDefault="00076E84" w:rsidP="00076E84">
      <w:pPr>
        <w:jc w:val="both"/>
      </w:pPr>
    </w:p>
    <w:p w:rsidR="00076E84" w:rsidRDefault="00076E84" w:rsidP="00076E84">
      <w:r w:rsidRPr="00505402">
        <w:rPr>
          <w:b/>
        </w:rPr>
        <w:lastRenderedPageBreak/>
        <w:t>Bilješka br. 1</w:t>
      </w:r>
      <w:r>
        <w:rPr>
          <w:b/>
        </w:rPr>
        <w:t>8</w:t>
      </w:r>
      <w:r>
        <w:t xml:space="preserve"> – AOP 139 Ispravak vrijednosti dionica i udjela u glavnici</w:t>
      </w:r>
    </w:p>
    <w:p w:rsidR="00076E84" w:rsidRPr="00F10188" w:rsidRDefault="00076E84" w:rsidP="00076E84">
      <w:pPr>
        <w:spacing w:after="120" w:line="240" w:lineRule="auto"/>
        <w:jc w:val="both"/>
        <w:rPr>
          <w:rFonts w:eastAsia="Times New Roman" w:cstheme="minorHAnsi"/>
          <w:lang w:eastAsia="hr-HR"/>
        </w:rPr>
      </w:pPr>
      <w:r w:rsidRPr="008B5300">
        <w:rPr>
          <w:rFonts w:eastAsia="Times New Roman" w:cstheme="minorHAnsi"/>
          <w:lang w:eastAsia="hr-HR"/>
        </w:rPr>
        <w:t>Pravomoćnim rješenji</w:t>
      </w:r>
      <w:r w:rsidRPr="0047600A">
        <w:rPr>
          <w:rFonts w:eastAsia="Times New Roman" w:cstheme="minorHAnsi"/>
          <w:lang w:eastAsia="hr-HR"/>
        </w:rPr>
        <w:t>m</w:t>
      </w:r>
      <w:r w:rsidRPr="008B5300">
        <w:rPr>
          <w:rFonts w:eastAsia="Times New Roman" w:cstheme="minorHAnsi"/>
          <w:lang w:eastAsia="hr-HR"/>
        </w:rPr>
        <w:t>a</w:t>
      </w:r>
      <w:r w:rsidRPr="0047600A">
        <w:rPr>
          <w:rFonts w:eastAsia="Times New Roman" w:cstheme="minorHAnsi"/>
          <w:lang w:eastAsia="hr-HR"/>
        </w:rPr>
        <w:t xml:space="preserve"> Trgovačkog suda u Zagrebu</w:t>
      </w:r>
      <w:r w:rsidRPr="008B5300">
        <w:rPr>
          <w:rFonts w:eastAsia="Times New Roman" w:cstheme="minorHAnsi"/>
          <w:lang w:eastAsia="hr-HR"/>
        </w:rPr>
        <w:t xml:space="preserve"> </w:t>
      </w:r>
      <w:r w:rsidRPr="0047600A">
        <w:rPr>
          <w:rFonts w:eastAsia="Times New Roman" w:cstheme="minorHAnsi"/>
          <w:lang w:eastAsia="hr-HR"/>
        </w:rPr>
        <w:t xml:space="preserve">o odobravanju predstečajne nagodbe, Grad Zagreb je </w:t>
      </w:r>
      <w:r w:rsidRPr="008B5300">
        <w:rPr>
          <w:rFonts w:eastAsia="Times New Roman" w:cstheme="minorHAnsi"/>
          <w:lang w:eastAsia="hr-HR"/>
        </w:rPr>
        <w:t xml:space="preserve">2014. i 2015. godine </w:t>
      </w:r>
      <w:r w:rsidRPr="0047600A">
        <w:rPr>
          <w:rFonts w:eastAsia="Times New Roman" w:cstheme="minorHAnsi"/>
          <w:lang w:eastAsia="hr-HR"/>
        </w:rPr>
        <w:t xml:space="preserve">stekao </w:t>
      </w:r>
      <w:r w:rsidRPr="008B5300">
        <w:rPr>
          <w:rFonts w:eastAsia="Times New Roman" w:cstheme="minorHAnsi"/>
          <w:lang w:eastAsia="hr-HR"/>
        </w:rPr>
        <w:t>25.215</w:t>
      </w:r>
      <w:r w:rsidRPr="0047600A">
        <w:rPr>
          <w:rFonts w:eastAsia="Times New Roman" w:cstheme="minorHAnsi"/>
          <w:lang w:eastAsia="hr-HR"/>
        </w:rPr>
        <w:t xml:space="preserve"> </w:t>
      </w:r>
      <w:r w:rsidRPr="008B5300">
        <w:rPr>
          <w:rFonts w:eastAsia="Times New Roman" w:cstheme="minorHAnsi"/>
          <w:lang w:eastAsia="hr-HR"/>
        </w:rPr>
        <w:t>dionica</w:t>
      </w:r>
      <w:r w:rsidRPr="0047600A">
        <w:rPr>
          <w:rFonts w:eastAsia="Times New Roman" w:cstheme="minorHAnsi"/>
          <w:lang w:eastAsia="hr-HR"/>
        </w:rPr>
        <w:t xml:space="preserve"> trgovačkog društ</w:t>
      </w:r>
      <w:r>
        <w:rPr>
          <w:rFonts w:eastAsia="Times New Roman" w:cstheme="minorHAnsi"/>
          <w:lang w:eastAsia="hr-HR"/>
        </w:rPr>
        <w:t xml:space="preserve">va INDUSTROGRADNJA GRUPA d.d. </w:t>
      </w:r>
      <w:r w:rsidRPr="0047600A">
        <w:rPr>
          <w:rFonts w:eastAsia="Times New Roman" w:cstheme="minorHAnsi"/>
          <w:lang w:val="en-US"/>
        </w:rPr>
        <w:t>nominaln</w:t>
      </w:r>
      <w:r>
        <w:rPr>
          <w:rFonts w:eastAsia="Times New Roman" w:cstheme="minorHAnsi"/>
          <w:lang w:val="en-US"/>
        </w:rPr>
        <w:t>e vri</w:t>
      </w:r>
      <w:r w:rsidRPr="0047600A">
        <w:rPr>
          <w:rFonts w:eastAsia="Times New Roman" w:cstheme="minorHAnsi"/>
          <w:lang w:val="en-US"/>
        </w:rPr>
        <w:t>jednosti 1.000 kuna po dionici</w:t>
      </w:r>
      <w:r w:rsidRPr="008B5300">
        <w:rPr>
          <w:rFonts w:eastAsia="Times New Roman" w:cstheme="minorHAnsi"/>
          <w:lang w:eastAsia="hr-HR"/>
        </w:rPr>
        <w:t xml:space="preserve"> i </w:t>
      </w:r>
      <w:r w:rsidRPr="00F10188">
        <w:rPr>
          <w:rFonts w:eastAsia="Times New Roman" w:cstheme="minorHAnsi"/>
          <w:lang w:eastAsia="hr-HR"/>
        </w:rPr>
        <w:t xml:space="preserve">607.122 dionice trgovačkog društva MAGMA d.d. </w:t>
      </w:r>
      <w:r w:rsidRPr="008B5300">
        <w:rPr>
          <w:rFonts w:eastAsia="Times New Roman" w:cstheme="minorHAnsi"/>
          <w:lang w:eastAsia="hr-HR"/>
        </w:rPr>
        <w:t xml:space="preserve"> nominaln</w:t>
      </w:r>
      <w:r>
        <w:rPr>
          <w:rFonts w:eastAsia="Times New Roman" w:cstheme="minorHAnsi"/>
          <w:lang w:eastAsia="hr-HR"/>
        </w:rPr>
        <w:t>e</w:t>
      </w:r>
      <w:r w:rsidRPr="008B5300">
        <w:rPr>
          <w:rFonts w:eastAsia="Times New Roman" w:cstheme="minorHAnsi"/>
          <w:lang w:eastAsia="hr-HR"/>
        </w:rPr>
        <w:t xml:space="preserve"> vrijednosti 100 kuna po dionici</w:t>
      </w:r>
      <w:r w:rsidRPr="00F10188">
        <w:rPr>
          <w:rFonts w:eastAsia="Times New Roman" w:cstheme="minorHAnsi"/>
          <w:lang w:eastAsia="hr-HR"/>
        </w:rPr>
        <w:t>, čime je utvrđena tražbina Grada namirena u cijelosti.</w:t>
      </w:r>
      <w:r w:rsidRPr="008B5300">
        <w:rPr>
          <w:rFonts w:eastAsia="Times New Roman" w:cstheme="minorHAnsi"/>
          <w:lang w:eastAsia="hr-HR"/>
        </w:rPr>
        <w:t xml:space="preserve"> Navedene dionice ne kotiraju na tržištu kapitala. Zbog upitne i nesigurne naplate potraživanja, evidentiran je ispravak vrijednosti dionica i udjela u glavnici u iznosu od 31.286.220 kuna</w:t>
      </w:r>
      <w:r>
        <w:rPr>
          <w:rFonts w:eastAsia="Times New Roman" w:cstheme="minorHAnsi"/>
          <w:lang w:eastAsia="hr-HR"/>
        </w:rPr>
        <w:t xml:space="preserve"> (AOP 139)</w:t>
      </w:r>
      <w:r w:rsidRPr="008B5300">
        <w:rPr>
          <w:rFonts w:eastAsia="Times New Roman" w:cstheme="minorHAnsi"/>
          <w:lang w:eastAsia="hr-HR"/>
        </w:rPr>
        <w:t xml:space="preserve">, sukladno </w:t>
      </w:r>
      <w:r>
        <w:rPr>
          <w:rFonts w:eastAsia="Times New Roman" w:cstheme="minorHAnsi"/>
          <w:lang w:eastAsia="hr-HR"/>
        </w:rPr>
        <w:t>članku 37.a Pravilnika</w:t>
      </w:r>
      <w:r w:rsidRPr="008B5300">
        <w:rPr>
          <w:rFonts w:eastAsia="Times New Roman" w:cstheme="minorHAnsi"/>
          <w:lang w:eastAsia="hr-HR"/>
        </w:rPr>
        <w:t xml:space="preserve"> o proračunskom računovodstvu i računskom planu. </w:t>
      </w:r>
    </w:p>
    <w:p w:rsidR="00076E84" w:rsidRDefault="00076E84" w:rsidP="00076E84">
      <w:r w:rsidRPr="00505402">
        <w:rPr>
          <w:b/>
        </w:rPr>
        <w:t>Bilješka br. 1</w:t>
      </w:r>
      <w:r>
        <w:rPr>
          <w:b/>
        </w:rPr>
        <w:t>9</w:t>
      </w:r>
      <w:r>
        <w:t xml:space="preserve"> – AOP 140 </w:t>
      </w:r>
      <w:r w:rsidRPr="00B8426F">
        <w:t>Potraživanja za prihode poslovanja</w:t>
      </w:r>
    </w:p>
    <w:tbl>
      <w:tblPr>
        <w:tblStyle w:val="TableGrid"/>
        <w:tblW w:w="0" w:type="auto"/>
        <w:tblLook w:val="04A0" w:firstRow="1" w:lastRow="0" w:firstColumn="1" w:lastColumn="0" w:noHBand="0" w:noVBand="1"/>
      </w:tblPr>
      <w:tblGrid>
        <w:gridCol w:w="805"/>
        <w:gridCol w:w="2131"/>
        <w:gridCol w:w="568"/>
        <w:gridCol w:w="1660"/>
        <w:gridCol w:w="1660"/>
        <w:gridCol w:w="1133"/>
        <w:gridCol w:w="1331"/>
      </w:tblGrid>
      <w:tr w:rsidR="00076E84" w:rsidRPr="00774066" w:rsidTr="00CF6359">
        <w:trPr>
          <w:trHeight w:val="600"/>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0" w:type="auto"/>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0" w:type="auto"/>
            <w:shd w:val="clear" w:color="auto" w:fill="DEEAF6" w:themeFill="accent1" w:themeFillTint="33"/>
            <w:vAlign w:val="center"/>
            <w:hideMark/>
          </w:tcPr>
          <w:p w:rsidR="00076E84" w:rsidRPr="00774066" w:rsidRDefault="00076E84" w:rsidP="00CF6359">
            <w:pPr>
              <w:jc w:val="center"/>
            </w:pPr>
            <w:r>
              <w:t>Smanjenje</w:t>
            </w:r>
          </w:p>
        </w:tc>
      </w:tr>
      <w:tr w:rsidR="00076E84" w:rsidRPr="00774066" w:rsidTr="00CF6359">
        <w:trPr>
          <w:trHeight w:val="195"/>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8647FA">
              <w:rPr>
                <w:sz w:val="16"/>
                <w:szCs w:val="16"/>
              </w:rPr>
              <w:t>7=5-4</w:t>
            </w:r>
          </w:p>
        </w:tc>
      </w:tr>
      <w:tr w:rsidR="00076E84" w:rsidRPr="000362D3" w:rsidTr="00CF6359">
        <w:trPr>
          <w:trHeight w:val="300"/>
        </w:trPr>
        <w:tc>
          <w:tcPr>
            <w:tcW w:w="0" w:type="auto"/>
            <w:noWrap/>
            <w:vAlign w:val="center"/>
            <w:hideMark/>
          </w:tcPr>
          <w:p w:rsidR="00076E84" w:rsidRPr="000362D3" w:rsidRDefault="00076E84" w:rsidP="00CF6359">
            <w:pPr>
              <w:jc w:val="right"/>
            </w:pPr>
            <w:r>
              <w:t>16</w:t>
            </w:r>
          </w:p>
        </w:tc>
        <w:tc>
          <w:tcPr>
            <w:tcW w:w="0" w:type="auto"/>
            <w:vAlign w:val="center"/>
            <w:hideMark/>
          </w:tcPr>
          <w:p w:rsidR="00076E84" w:rsidRPr="000362D3" w:rsidRDefault="00076E84" w:rsidP="00CF6359">
            <w:r w:rsidRPr="00B8426F">
              <w:t>Potraživanja za prihode poslovanja</w:t>
            </w:r>
          </w:p>
        </w:tc>
        <w:tc>
          <w:tcPr>
            <w:tcW w:w="0" w:type="auto"/>
            <w:noWrap/>
            <w:vAlign w:val="center"/>
            <w:hideMark/>
          </w:tcPr>
          <w:p w:rsidR="00076E84" w:rsidRPr="000362D3" w:rsidRDefault="00076E84" w:rsidP="00CF6359">
            <w:pPr>
              <w:jc w:val="right"/>
            </w:pPr>
            <w:r>
              <w:t>140</w:t>
            </w:r>
          </w:p>
        </w:tc>
        <w:tc>
          <w:tcPr>
            <w:tcW w:w="0" w:type="auto"/>
            <w:noWrap/>
            <w:vAlign w:val="center"/>
            <w:hideMark/>
          </w:tcPr>
          <w:p w:rsidR="00076E84" w:rsidRPr="00E26CDE" w:rsidRDefault="00076E84" w:rsidP="00CF6359">
            <w:pPr>
              <w:jc w:val="right"/>
            </w:pPr>
            <w:r>
              <w:t>1.287.523.482</w:t>
            </w:r>
          </w:p>
        </w:tc>
        <w:tc>
          <w:tcPr>
            <w:tcW w:w="0" w:type="auto"/>
            <w:noWrap/>
            <w:vAlign w:val="center"/>
          </w:tcPr>
          <w:p w:rsidR="00076E84" w:rsidRDefault="00076E84" w:rsidP="00CF6359">
            <w:pPr>
              <w:jc w:val="right"/>
            </w:pPr>
            <w:r>
              <w:t>588.649.992</w:t>
            </w:r>
          </w:p>
        </w:tc>
        <w:tc>
          <w:tcPr>
            <w:tcW w:w="0" w:type="auto"/>
            <w:noWrap/>
            <w:vAlign w:val="center"/>
          </w:tcPr>
          <w:p w:rsidR="00076E84" w:rsidRPr="003F015E" w:rsidRDefault="00076E84" w:rsidP="00CF6359">
            <w:pPr>
              <w:jc w:val="center"/>
            </w:pPr>
            <w:r>
              <w:t>45,7</w:t>
            </w:r>
          </w:p>
        </w:tc>
        <w:tc>
          <w:tcPr>
            <w:tcW w:w="0" w:type="auto"/>
            <w:noWrap/>
            <w:vAlign w:val="center"/>
          </w:tcPr>
          <w:p w:rsidR="00076E84" w:rsidRDefault="00076E84" w:rsidP="00CF6359">
            <w:pPr>
              <w:jc w:val="right"/>
            </w:pPr>
            <w:r>
              <w:t>698.873.490</w:t>
            </w:r>
          </w:p>
        </w:tc>
      </w:tr>
    </w:tbl>
    <w:p w:rsidR="00076E84" w:rsidRDefault="00076E84" w:rsidP="00076E84">
      <w:pPr>
        <w:spacing w:after="0"/>
      </w:pPr>
    </w:p>
    <w:p w:rsidR="00076E84" w:rsidRDefault="00076E84" w:rsidP="00076E84">
      <w:pPr>
        <w:jc w:val="both"/>
      </w:pPr>
      <w:r>
        <w:t>Ukupna potraživanja za prihode poslovanja manja su za 698.873.490 kn ili 54,3 % u odnosu na prethodnu godinu. Navedeno smanjenje rezultat je primjene članka 37.a Pravilnika o proračunskom računovodstvu i računskom planu koji je stupio na snagu 11. siječnja 2018. godine, kojim je propisano kada i za koja potraživanja treba evidentirati ispravak vrijednosti u poslovnim knjigama te po kojim kriterijima i stopama. Neovisno o provedenom ispravku, nadležna tijela za naplatu potraživanja i dalje poduzimaju sve potrebne mjere za potpunu naplatu prihoda i primitaka iz svoje nadležnosti sukladno Zakonu o proračunu i drugim zakonskim i podzakonskim aktima koji uređuju to područje.</w:t>
      </w:r>
    </w:p>
    <w:p w:rsidR="00076E84" w:rsidRDefault="00076E84" w:rsidP="00076E84">
      <w:r>
        <w:rPr>
          <w:b/>
        </w:rPr>
        <w:t>Bilješka br. 20</w:t>
      </w:r>
      <w:r>
        <w:t xml:space="preserve"> – AOP 141 Potraživanja za poreze</w:t>
      </w:r>
    </w:p>
    <w:tbl>
      <w:tblPr>
        <w:tblStyle w:val="TableGrid"/>
        <w:tblW w:w="4999" w:type="pct"/>
        <w:tblInd w:w="-1" w:type="dxa"/>
        <w:tblLook w:val="04A0" w:firstRow="1" w:lastRow="0" w:firstColumn="1" w:lastColumn="0" w:noHBand="0" w:noVBand="1"/>
      </w:tblPr>
      <w:tblGrid>
        <w:gridCol w:w="1289"/>
        <w:gridCol w:w="3308"/>
        <w:gridCol w:w="1658"/>
        <w:gridCol w:w="1577"/>
        <w:gridCol w:w="1454"/>
      </w:tblGrid>
      <w:tr w:rsidR="00076E84" w:rsidTr="00CF6359">
        <w:trPr>
          <w:trHeight w:val="488"/>
        </w:trPr>
        <w:tc>
          <w:tcPr>
            <w:tcW w:w="694" w:type="pct"/>
            <w:tcBorders>
              <w:bottom w:val="single" w:sz="4" w:space="0" w:color="auto"/>
            </w:tcBorders>
            <w:shd w:val="clear" w:color="auto" w:fill="DEEAF6" w:themeFill="accent1" w:themeFillTint="33"/>
            <w:vAlign w:val="center"/>
          </w:tcPr>
          <w:p w:rsidR="00076E84" w:rsidRPr="00743F04" w:rsidRDefault="00076E84" w:rsidP="00CF6359">
            <w:pPr>
              <w:jc w:val="center"/>
              <w:rPr>
                <w:sz w:val="20"/>
                <w:szCs w:val="20"/>
              </w:rPr>
            </w:pPr>
            <w:r>
              <w:rPr>
                <w:sz w:val="20"/>
                <w:szCs w:val="20"/>
              </w:rPr>
              <w:t>BROJ RAČUNA</w:t>
            </w:r>
          </w:p>
        </w:tc>
        <w:tc>
          <w:tcPr>
            <w:tcW w:w="1781" w:type="pct"/>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893" w:type="pct"/>
            <w:tcBorders>
              <w:bottom w:val="single" w:sz="4" w:space="0" w:color="auto"/>
            </w:tcBorders>
            <w:shd w:val="clear" w:color="auto" w:fill="DEEAF6" w:themeFill="accent1" w:themeFillTint="33"/>
          </w:tcPr>
          <w:p w:rsidR="00076E84" w:rsidRPr="008B1EEE" w:rsidRDefault="00076E84" w:rsidP="00CF6359">
            <w:pPr>
              <w:jc w:val="center"/>
            </w:pPr>
            <w:r w:rsidRPr="008B1EEE">
              <w:t>Stanje 01.01.1</w:t>
            </w:r>
            <w:r>
              <w:t>8</w:t>
            </w:r>
            <w:r w:rsidRPr="008B1EEE">
              <w:t>.</w:t>
            </w:r>
          </w:p>
        </w:tc>
        <w:tc>
          <w:tcPr>
            <w:tcW w:w="849" w:type="pct"/>
            <w:tcBorders>
              <w:bottom w:val="single" w:sz="4" w:space="0" w:color="auto"/>
            </w:tcBorders>
            <w:shd w:val="clear" w:color="auto" w:fill="DEEAF6" w:themeFill="accent1" w:themeFillTint="33"/>
          </w:tcPr>
          <w:p w:rsidR="00076E84" w:rsidRDefault="00076E84" w:rsidP="00CF6359">
            <w:pPr>
              <w:jc w:val="center"/>
            </w:pPr>
            <w:r w:rsidRPr="008B1EEE">
              <w:t>Stanje 31.12.1</w:t>
            </w:r>
            <w:r>
              <w:t>8</w:t>
            </w:r>
            <w:r w:rsidRPr="008B1EEE">
              <w:t>.</w:t>
            </w:r>
          </w:p>
        </w:tc>
        <w:tc>
          <w:tcPr>
            <w:tcW w:w="783" w:type="pct"/>
            <w:tcBorders>
              <w:bottom w:val="single" w:sz="4" w:space="0" w:color="auto"/>
            </w:tcBorders>
            <w:shd w:val="clear" w:color="auto" w:fill="DEEAF6" w:themeFill="accent1" w:themeFillTint="33"/>
            <w:vAlign w:val="center"/>
          </w:tcPr>
          <w:p w:rsidR="00076E84" w:rsidRDefault="00076E84" w:rsidP="00CF6359">
            <w:pPr>
              <w:jc w:val="center"/>
            </w:pPr>
            <w:r>
              <w:t>Povećanje/</w:t>
            </w:r>
          </w:p>
          <w:p w:rsidR="00076E84" w:rsidRDefault="00076E84" w:rsidP="00CF6359">
            <w:pPr>
              <w:jc w:val="center"/>
            </w:pPr>
            <w:r>
              <w:t>Smanjenje</w:t>
            </w:r>
          </w:p>
        </w:tc>
      </w:tr>
      <w:tr w:rsidR="00076E84" w:rsidRPr="00BE576B" w:rsidTr="00CF6359">
        <w:trPr>
          <w:trHeight w:val="112"/>
        </w:trPr>
        <w:tc>
          <w:tcPr>
            <w:tcW w:w="694" w:type="pct"/>
            <w:shd w:val="clear" w:color="auto" w:fill="DEEAF6" w:themeFill="accent1" w:themeFillTint="33"/>
          </w:tcPr>
          <w:p w:rsidR="00076E84" w:rsidRPr="00BE576B" w:rsidRDefault="00076E84" w:rsidP="00CF6359">
            <w:pPr>
              <w:jc w:val="center"/>
              <w:rPr>
                <w:sz w:val="16"/>
                <w:szCs w:val="16"/>
              </w:rPr>
            </w:pPr>
            <w:r w:rsidRPr="00BE576B">
              <w:rPr>
                <w:sz w:val="16"/>
                <w:szCs w:val="16"/>
              </w:rPr>
              <w:t>1</w:t>
            </w:r>
          </w:p>
        </w:tc>
        <w:tc>
          <w:tcPr>
            <w:tcW w:w="1781" w:type="pct"/>
            <w:shd w:val="clear" w:color="auto" w:fill="DEEAF6" w:themeFill="accent1" w:themeFillTint="33"/>
          </w:tcPr>
          <w:p w:rsidR="00076E84" w:rsidRPr="00BE576B" w:rsidRDefault="00076E84" w:rsidP="00CF6359">
            <w:pPr>
              <w:jc w:val="center"/>
              <w:rPr>
                <w:sz w:val="16"/>
                <w:szCs w:val="16"/>
              </w:rPr>
            </w:pPr>
            <w:r w:rsidRPr="00BE576B">
              <w:rPr>
                <w:sz w:val="16"/>
                <w:szCs w:val="16"/>
              </w:rPr>
              <w:t>2</w:t>
            </w:r>
          </w:p>
        </w:tc>
        <w:tc>
          <w:tcPr>
            <w:tcW w:w="893" w:type="pct"/>
            <w:shd w:val="clear" w:color="auto" w:fill="DEEAF6" w:themeFill="accent1" w:themeFillTint="33"/>
          </w:tcPr>
          <w:p w:rsidR="00076E84" w:rsidRPr="00BE576B" w:rsidRDefault="00076E84" w:rsidP="00CF6359">
            <w:pPr>
              <w:jc w:val="center"/>
              <w:rPr>
                <w:sz w:val="16"/>
                <w:szCs w:val="16"/>
              </w:rPr>
            </w:pPr>
            <w:r>
              <w:rPr>
                <w:sz w:val="16"/>
                <w:szCs w:val="16"/>
              </w:rPr>
              <w:t>3</w:t>
            </w:r>
          </w:p>
        </w:tc>
        <w:tc>
          <w:tcPr>
            <w:tcW w:w="849" w:type="pct"/>
            <w:shd w:val="clear" w:color="auto" w:fill="DEEAF6" w:themeFill="accent1" w:themeFillTint="33"/>
          </w:tcPr>
          <w:p w:rsidR="00076E84" w:rsidRPr="00BE576B" w:rsidRDefault="00076E84" w:rsidP="00CF6359">
            <w:pPr>
              <w:jc w:val="center"/>
              <w:rPr>
                <w:sz w:val="16"/>
                <w:szCs w:val="16"/>
              </w:rPr>
            </w:pPr>
            <w:r>
              <w:rPr>
                <w:sz w:val="16"/>
                <w:szCs w:val="16"/>
              </w:rPr>
              <w:t>4</w:t>
            </w:r>
          </w:p>
        </w:tc>
        <w:tc>
          <w:tcPr>
            <w:tcW w:w="783" w:type="pct"/>
            <w:shd w:val="clear" w:color="auto" w:fill="DEEAF6" w:themeFill="accent1" w:themeFillTint="33"/>
          </w:tcPr>
          <w:p w:rsidR="00076E84" w:rsidRPr="00BE576B" w:rsidRDefault="00076E84" w:rsidP="00CF6359">
            <w:pPr>
              <w:jc w:val="center"/>
              <w:rPr>
                <w:sz w:val="16"/>
                <w:szCs w:val="16"/>
              </w:rPr>
            </w:pPr>
            <w:r>
              <w:rPr>
                <w:sz w:val="16"/>
                <w:szCs w:val="16"/>
              </w:rPr>
              <w:t>5=4-3</w:t>
            </w:r>
          </w:p>
        </w:tc>
      </w:tr>
      <w:tr w:rsidR="00076E84" w:rsidTr="00CF6359">
        <w:tc>
          <w:tcPr>
            <w:tcW w:w="694" w:type="pct"/>
          </w:tcPr>
          <w:p w:rsidR="00076E84" w:rsidRDefault="00076E84" w:rsidP="00CF6359">
            <w:r>
              <w:t>16131400</w:t>
            </w:r>
          </w:p>
        </w:tc>
        <w:tc>
          <w:tcPr>
            <w:tcW w:w="1781" w:type="pct"/>
          </w:tcPr>
          <w:p w:rsidR="00076E84" w:rsidRDefault="00076E84" w:rsidP="00CF6359">
            <w:r>
              <w:t>Porez na kuće za odmor</w:t>
            </w:r>
          </w:p>
        </w:tc>
        <w:tc>
          <w:tcPr>
            <w:tcW w:w="893" w:type="pct"/>
          </w:tcPr>
          <w:p w:rsidR="00076E84" w:rsidRPr="001B1DB5" w:rsidRDefault="00076E84" w:rsidP="00CF6359">
            <w:pPr>
              <w:jc w:val="right"/>
            </w:pPr>
            <w:r w:rsidRPr="001B1DB5">
              <w:t>285.965</w:t>
            </w:r>
          </w:p>
        </w:tc>
        <w:tc>
          <w:tcPr>
            <w:tcW w:w="849" w:type="pct"/>
          </w:tcPr>
          <w:p w:rsidR="00076E84" w:rsidRDefault="00076E84" w:rsidP="00CF6359">
            <w:pPr>
              <w:jc w:val="right"/>
            </w:pPr>
            <w:r>
              <w:t>248.941</w:t>
            </w:r>
          </w:p>
        </w:tc>
        <w:tc>
          <w:tcPr>
            <w:tcW w:w="783" w:type="pct"/>
          </w:tcPr>
          <w:p w:rsidR="00076E84" w:rsidRDefault="00076E84" w:rsidP="00CF6359">
            <w:pPr>
              <w:jc w:val="right"/>
            </w:pPr>
            <w:r>
              <w:t>-37.024</w:t>
            </w:r>
          </w:p>
        </w:tc>
      </w:tr>
      <w:tr w:rsidR="00076E84" w:rsidTr="00CF6359">
        <w:tc>
          <w:tcPr>
            <w:tcW w:w="694" w:type="pct"/>
          </w:tcPr>
          <w:p w:rsidR="00076E84" w:rsidRDefault="00076E84" w:rsidP="00CF6359">
            <w:r>
              <w:t>16134100</w:t>
            </w:r>
          </w:p>
        </w:tc>
        <w:tc>
          <w:tcPr>
            <w:tcW w:w="1781" w:type="pct"/>
          </w:tcPr>
          <w:p w:rsidR="00076E84" w:rsidRDefault="00076E84" w:rsidP="00CF6359">
            <w:r>
              <w:t>Porez na promet nekretnina</w:t>
            </w:r>
          </w:p>
        </w:tc>
        <w:tc>
          <w:tcPr>
            <w:tcW w:w="893" w:type="pct"/>
          </w:tcPr>
          <w:p w:rsidR="00076E84" w:rsidRPr="001B1DB5" w:rsidRDefault="00076E84" w:rsidP="00CF6359">
            <w:pPr>
              <w:jc w:val="right"/>
            </w:pPr>
            <w:r w:rsidRPr="001B1DB5">
              <w:t>294.068.803</w:t>
            </w:r>
          </w:p>
        </w:tc>
        <w:tc>
          <w:tcPr>
            <w:tcW w:w="849" w:type="pct"/>
          </w:tcPr>
          <w:p w:rsidR="00076E84" w:rsidRDefault="00076E84" w:rsidP="00CF6359">
            <w:pPr>
              <w:jc w:val="right"/>
            </w:pPr>
            <w:r>
              <w:t>262.935.781</w:t>
            </w:r>
          </w:p>
        </w:tc>
        <w:tc>
          <w:tcPr>
            <w:tcW w:w="783" w:type="pct"/>
          </w:tcPr>
          <w:p w:rsidR="00076E84" w:rsidRDefault="00076E84" w:rsidP="00CF6359">
            <w:pPr>
              <w:jc w:val="right"/>
            </w:pPr>
            <w:r>
              <w:t>-31.133.022</w:t>
            </w:r>
          </w:p>
        </w:tc>
      </w:tr>
      <w:tr w:rsidR="00076E84" w:rsidTr="00CF6359">
        <w:tc>
          <w:tcPr>
            <w:tcW w:w="694" w:type="pct"/>
          </w:tcPr>
          <w:p w:rsidR="00076E84" w:rsidRDefault="00076E84" w:rsidP="00CF6359">
            <w:r>
              <w:t>16145100</w:t>
            </w:r>
          </w:p>
        </w:tc>
        <w:tc>
          <w:tcPr>
            <w:tcW w:w="1781" w:type="pct"/>
          </w:tcPr>
          <w:p w:rsidR="00076E84" w:rsidRDefault="00076E84" w:rsidP="00CF6359">
            <w:r>
              <w:t>Porez na cestovna motorna vozila</w:t>
            </w:r>
          </w:p>
        </w:tc>
        <w:tc>
          <w:tcPr>
            <w:tcW w:w="893" w:type="pct"/>
          </w:tcPr>
          <w:p w:rsidR="00076E84" w:rsidRPr="001B1DB5" w:rsidRDefault="00076E84" w:rsidP="00CF6359">
            <w:pPr>
              <w:jc w:val="right"/>
            </w:pPr>
            <w:r w:rsidRPr="001B1DB5">
              <w:t>17.179.922</w:t>
            </w:r>
          </w:p>
        </w:tc>
        <w:tc>
          <w:tcPr>
            <w:tcW w:w="849" w:type="pct"/>
          </w:tcPr>
          <w:p w:rsidR="00076E84" w:rsidRDefault="00076E84" w:rsidP="00CF6359">
            <w:pPr>
              <w:jc w:val="right"/>
            </w:pPr>
            <w:r>
              <w:t>11.174.181</w:t>
            </w:r>
          </w:p>
        </w:tc>
        <w:tc>
          <w:tcPr>
            <w:tcW w:w="783" w:type="pct"/>
          </w:tcPr>
          <w:p w:rsidR="00076E84" w:rsidRDefault="00076E84" w:rsidP="00CF6359">
            <w:pPr>
              <w:jc w:val="right"/>
            </w:pPr>
            <w:r>
              <w:t>-6.005.741</w:t>
            </w:r>
          </w:p>
        </w:tc>
      </w:tr>
      <w:tr w:rsidR="00076E84" w:rsidTr="00CF6359">
        <w:tc>
          <w:tcPr>
            <w:tcW w:w="694" w:type="pct"/>
          </w:tcPr>
          <w:p w:rsidR="00076E84" w:rsidRDefault="00076E84" w:rsidP="00CF6359">
            <w:r>
              <w:t>16145300</w:t>
            </w:r>
          </w:p>
        </w:tc>
        <w:tc>
          <w:tcPr>
            <w:tcW w:w="1781" w:type="pct"/>
          </w:tcPr>
          <w:p w:rsidR="00076E84" w:rsidRDefault="00076E84" w:rsidP="00CF6359">
            <w:r>
              <w:t>Porez na tvrtku</w:t>
            </w:r>
          </w:p>
        </w:tc>
        <w:tc>
          <w:tcPr>
            <w:tcW w:w="893" w:type="pct"/>
          </w:tcPr>
          <w:p w:rsidR="00076E84" w:rsidRPr="001B1DB5" w:rsidRDefault="00076E84" w:rsidP="00CF6359">
            <w:pPr>
              <w:jc w:val="right"/>
            </w:pPr>
            <w:r w:rsidRPr="001B1DB5">
              <w:t>38.787.701</w:t>
            </w:r>
          </w:p>
        </w:tc>
        <w:tc>
          <w:tcPr>
            <w:tcW w:w="849" w:type="pct"/>
          </w:tcPr>
          <w:p w:rsidR="00076E84" w:rsidRDefault="00076E84" w:rsidP="00CF6359">
            <w:pPr>
              <w:jc w:val="right"/>
            </w:pPr>
            <w:r>
              <w:t>22.305.499</w:t>
            </w:r>
          </w:p>
        </w:tc>
        <w:tc>
          <w:tcPr>
            <w:tcW w:w="783" w:type="pct"/>
          </w:tcPr>
          <w:p w:rsidR="00076E84" w:rsidRDefault="00076E84" w:rsidP="00CF6359">
            <w:pPr>
              <w:jc w:val="right"/>
            </w:pPr>
            <w:r>
              <w:t>-16.482.202</w:t>
            </w:r>
          </w:p>
        </w:tc>
      </w:tr>
      <w:tr w:rsidR="00076E84" w:rsidTr="00CF6359">
        <w:tc>
          <w:tcPr>
            <w:tcW w:w="694" w:type="pct"/>
          </w:tcPr>
          <w:p w:rsidR="00076E84" w:rsidRDefault="00076E84" w:rsidP="00CF6359">
            <w:r>
              <w:t>16145900</w:t>
            </w:r>
          </w:p>
        </w:tc>
        <w:tc>
          <w:tcPr>
            <w:tcW w:w="1781" w:type="pct"/>
          </w:tcPr>
          <w:p w:rsidR="00076E84" w:rsidRDefault="00076E84" w:rsidP="00CF6359">
            <w:r>
              <w:t>Porez na reklame</w:t>
            </w:r>
          </w:p>
        </w:tc>
        <w:tc>
          <w:tcPr>
            <w:tcW w:w="893" w:type="pct"/>
          </w:tcPr>
          <w:p w:rsidR="00076E84" w:rsidRPr="001B1DB5" w:rsidRDefault="00076E84" w:rsidP="00CF6359">
            <w:pPr>
              <w:jc w:val="right"/>
            </w:pPr>
            <w:r w:rsidRPr="001B1DB5">
              <w:t>204.870</w:t>
            </w:r>
          </w:p>
        </w:tc>
        <w:tc>
          <w:tcPr>
            <w:tcW w:w="849" w:type="pct"/>
          </w:tcPr>
          <w:p w:rsidR="00076E84" w:rsidRDefault="00076E84" w:rsidP="00CF6359">
            <w:pPr>
              <w:jc w:val="right"/>
            </w:pPr>
            <w:r>
              <w:t>207.157</w:t>
            </w:r>
          </w:p>
        </w:tc>
        <w:tc>
          <w:tcPr>
            <w:tcW w:w="783" w:type="pct"/>
          </w:tcPr>
          <w:p w:rsidR="00076E84" w:rsidRDefault="00076E84" w:rsidP="00CF6359">
            <w:pPr>
              <w:jc w:val="right"/>
            </w:pPr>
            <w:r>
              <w:t>2.287</w:t>
            </w:r>
          </w:p>
        </w:tc>
      </w:tr>
      <w:tr w:rsidR="00076E84" w:rsidRPr="00BE576B" w:rsidTr="00CF6359">
        <w:tc>
          <w:tcPr>
            <w:tcW w:w="694" w:type="pct"/>
          </w:tcPr>
          <w:p w:rsidR="00076E84" w:rsidRPr="00BE576B" w:rsidRDefault="00076E84" w:rsidP="00CF6359">
            <w:pPr>
              <w:rPr>
                <w:b/>
              </w:rPr>
            </w:pPr>
          </w:p>
        </w:tc>
        <w:tc>
          <w:tcPr>
            <w:tcW w:w="1781" w:type="pct"/>
          </w:tcPr>
          <w:p w:rsidR="00076E84" w:rsidRPr="00BE576B" w:rsidRDefault="00076E84" w:rsidP="00CF6359">
            <w:pPr>
              <w:rPr>
                <w:b/>
              </w:rPr>
            </w:pPr>
            <w:r>
              <w:rPr>
                <w:b/>
              </w:rPr>
              <w:t>UKUPNO</w:t>
            </w:r>
          </w:p>
        </w:tc>
        <w:tc>
          <w:tcPr>
            <w:tcW w:w="893" w:type="pct"/>
          </w:tcPr>
          <w:p w:rsidR="00076E84" w:rsidRDefault="00076E84" w:rsidP="00CF6359">
            <w:pPr>
              <w:jc w:val="right"/>
            </w:pPr>
            <w:r w:rsidRPr="001B1DB5">
              <w:t>350.527.261</w:t>
            </w:r>
          </w:p>
        </w:tc>
        <w:tc>
          <w:tcPr>
            <w:tcW w:w="849" w:type="pct"/>
          </w:tcPr>
          <w:p w:rsidR="00076E84" w:rsidRPr="007C1C6F" w:rsidRDefault="00076E84" w:rsidP="00CF6359">
            <w:pPr>
              <w:jc w:val="right"/>
            </w:pPr>
            <w:r>
              <w:t>296.871.559</w:t>
            </w:r>
          </w:p>
        </w:tc>
        <w:tc>
          <w:tcPr>
            <w:tcW w:w="783" w:type="pct"/>
          </w:tcPr>
          <w:p w:rsidR="00076E84" w:rsidRPr="00D4600A" w:rsidRDefault="00076E84" w:rsidP="00CF6359">
            <w:pPr>
              <w:jc w:val="right"/>
            </w:pPr>
            <w:r>
              <w:t>-53.655.702</w:t>
            </w:r>
          </w:p>
        </w:tc>
      </w:tr>
    </w:tbl>
    <w:p w:rsidR="00076E84" w:rsidRDefault="00076E84" w:rsidP="00076E84">
      <w:pPr>
        <w:spacing w:after="0"/>
      </w:pPr>
    </w:p>
    <w:p w:rsidR="00076E84" w:rsidRDefault="00076E84" w:rsidP="00076E84">
      <w:pPr>
        <w:autoSpaceDE w:val="0"/>
        <w:autoSpaceDN w:val="0"/>
        <w:adjustRightInd w:val="0"/>
        <w:spacing w:after="0" w:line="240" w:lineRule="auto"/>
        <w:jc w:val="both"/>
        <w:rPr>
          <w:rFonts w:ascii="Calibri" w:hAnsi="Calibri" w:cs="Calibri"/>
        </w:rPr>
      </w:pPr>
      <w:r>
        <w:rPr>
          <w:rFonts w:ascii="Calibri" w:hAnsi="Calibri" w:cs="Calibri"/>
        </w:rPr>
        <w:t xml:space="preserve">Sukladno </w:t>
      </w:r>
      <w:r w:rsidRPr="001B10B3">
        <w:rPr>
          <w:rFonts w:ascii="Calibri" w:hAnsi="Calibri" w:cs="Calibri"/>
        </w:rPr>
        <w:t>odredbama Općeg poreznog</w:t>
      </w:r>
      <w:r>
        <w:rPr>
          <w:rFonts w:ascii="Calibri" w:hAnsi="Calibri" w:cs="Calibri"/>
        </w:rPr>
        <w:t xml:space="preserve"> zakona (</w:t>
      </w:r>
      <w:r w:rsidRPr="001B10B3">
        <w:rPr>
          <w:rFonts w:ascii="Calibri" w:hAnsi="Calibri" w:cs="Calibri"/>
        </w:rPr>
        <w:t>Narodne novine br</w:t>
      </w:r>
      <w:r>
        <w:rPr>
          <w:rFonts w:ascii="Calibri" w:hAnsi="Calibri" w:cs="Calibri"/>
        </w:rPr>
        <w:t>.</w:t>
      </w:r>
      <w:r w:rsidRPr="001B10B3">
        <w:rPr>
          <w:rFonts w:ascii="Calibri" w:hAnsi="Calibri" w:cs="Calibri"/>
        </w:rPr>
        <w:t xml:space="preserve"> 115/16)</w:t>
      </w:r>
      <w:r>
        <w:rPr>
          <w:rFonts w:ascii="Calibri" w:hAnsi="Calibri" w:cs="Calibri"/>
        </w:rPr>
        <w:t>,</w:t>
      </w:r>
      <w:r w:rsidRPr="001B10B3">
        <w:rPr>
          <w:rFonts w:ascii="Calibri" w:hAnsi="Calibri" w:cs="Calibri"/>
        </w:rPr>
        <w:t xml:space="preserve"> koji je stupio na snagu 01.01.2017.</w:t>
      </w:r>
      <w:r>
        <w:rPr>
          <w:rFonts w:ascii="Calibri" w:hAnsi="Calibri" w:cs="Calibri"/>
        </w:rPr>
        <w:t xml:space="preserve"> </w:t>
      </w:r>
      <w:r w:rsidRPr="001B10B3">
        <w:rPr>
          <w:rFonts w:ascii="Calibri" w:hAnsi="Calibri" w:cs="Calibri"/>
        </w:rPr>
        <w:t>godine</w:t>
      </w:r>
      <w:r>
        <w:rPr>
          <w:rFonts w:ascii="Calibri" w:hAnsi="Calibri" w:cs="Calibri"/>
        </w:rPr>
        <w:t xml:space="preserve">, Porezna uprava otpisala je potraživanja zbog nastupa prava na zastaru. </w:t>
      </w:r>
      <w:r w:rsidRPr="001B10B3">
        <w:rPr>
          <w:rFonts w:ascii="Calibri" w:hAnsi="Calibri" w:cs="Calibri"/>
        </w:rPr>
        <w:t xml:space="preserve">Potraživanja za koje je nastupila zastara otpisuju iz poreznih evidencija sistemskim otpisom svake godine. </w:t>
      </w:r>
      <w:r>
        <w:rPr>
          <w:rFonts w:ascii="Calibri" w:hAnsi="Calibri" w:cs="Calibri"/>
        </w:rPr>
        <w:t>Tijekom godine otpis</w:t>
      </w:r>
      <w:r w:rsidRPr="001B10B3">
        <w:rPr>
          <w:rFonts w:ascii="Calibri" w:hAnsi="Calibri" w:cs="Calibri"/>
        </w:rPr>
        <w:t xml:space="preserve"> se isto tako provod</w:t>
      </w:r>
      <w:r>
        <w:rPr>
          <w:rFonts w:ascii="Calibri" w:hAnsi="Calibri" w:cs="Calibri"/>
        </w:rPr>
        <w:t>i</w:t>
      </w:r>
      <w:r w:rsidRPr="001B10B3">
        <w:rPr>
          <w:rFonts w:ascii="Calibri" w:hAnsi="Calibri" w:cs="Calibri"/>
        </w:rPr>
        <w:t xml:space="preserve"> prije i nakon sistemskog otpisa temeljem rješenja donesenih po osnovi</w:t>
      </w:r>
      <w:r>
        <w:rPr>
          <w:rFonts w:ascii="Calibri" w:hAnsi="Calibri" w:cs="Calibri"/>
        </w:rPr>
        <w:t xml:space="preserve"> </w:t>
      </w:r>
      <w:r w:rsidRPr="001B10B3">
        <w:rPr>
          <w:rFonts w:ascii="Calibri" w:hAnsi="Calibri" w:cs="Calibri"/>
        </w:rPr>
        <w:t xml:space="preserve"> istaknutog prigovora zastare odnosno službenih bilješki donesenih po službenoj dužnost</w:t>
      </w:r>
      <w:r>
        <w:rPr>
          <w:rFonts w:ascii="Calibri" w:hAnsi="Calibri" w:cs="Calibri"/>
        </w:rPr>
        <w:t>i (</w:t>
      </w:r>
      <w:r w:rsidRPr="001B10B3">
        <w:rPr>
          <w:rFonts w:ascii="Calibri" w:hAnsi="Calibri" w:cs="Calibri"/>
        </w:rPr>
        <w:t>prije poduzimanja ovršnih mjera, prijava potraživanja, izrada raznih potvrda)</w:t>
      </w:r>
      <w:r>
        <w:rPr>
          <w:rFonts w:ascii="Calibri" w:hAnsi="Calibri" w:cs="Calibri"/>
        </w:rPr>
        <w:t>,</w:t>
      </w:r>
      <w:r w:rsidRPr="001B10B3">
        <w:rPr>
          <w:rFonts w:ascii="Calibri" w:hAnsi="Calibri" w:cs="Calibri"/>
        </w:rPr>
        <w:t xml:space="preserve"> ako se utvrdi da je za dug ili dio duga nastupila zastara prava na naplatu.</w:t>
      </w:r>
    </w:p>
    <w:p w:rsidR="00076E84" w:rsidRPr="001B10B3" w:rsidRDefault="00076E84" w:rsidP="00076E84">
      <w:pPr>
        <w:autoSpaceDE w:val="0"/>
        <w:autoSpaceDN w:val="0"/>
        <w:adjustRightInd w:val="0"/>
        <w:spacing w:after="0" w:line="240" w:lineRule="auto"/>
        <w:jc w:val="both"/>
      </w:pPr>
      <w:r>
        <w:t>Sukladno Pravilniku o uvjetima, opsegu i naknadi za obavljanje poslova utvrđivanja, evidentiranja, nadzora, naplate i ovrhe radi naplate poreza jedinica lokalne i područne (regionalne) samouprave (Narodne novine br. 1/17) Porezna uprava dostavlja izvješća jedinicama lokalne i područne (regionalne) samouprave o utvrđenim i naplaćenim porezima i saldu duga.</w:t>
      </w:r>
    </w:p>
    <w:p w:rsidR="00076E84" w:rsidRDefault="00076E84" w:rsidP="00076E84">
      <w:pPr>
        <w:spacing w:after="0"/>
        <w:rPr>
          <w:b/>
        </w:rPr>
      </w:pPr>
    </w:p>
    <w:p w:rsidR="00076E84" w:rsidRDefault="00076E84" w:rsidP="00076E84">
      <w:r>
        <w:rPr>
          <w:b/>
        </w:rPr>
        <w:t>Bilješka br. 21</w:t>
      </w:r>
      <w:r>
        <w:t xml:space="preserve"> – AOP 151 </w:t>
      </w:r>
      <w:r w:rsidRPr="003577A7">
        <w:t>Potraživanja za prihode od imovine</w:t>
      </w:r>
    </w:p>
    <w:tbl>
      <w:tblPr>
        <w:tblStyle w:val="TableGrid"/>
        <w:tblW w:w="0" w:type="auto"/>
        <w:tblLook w:val="04A0" w:firstRow="1" w:lastRow="0" w:firstColumn="1" w:lastColumn="0" w:noHBand="0" w:noVBand="1"/>
      </w:tblPr>
      <w:tblGrid>
        <w:gridCol w:w="805"/>
        <w:gridCol w:w="2290"/>
        <w:gridCol w:w="568"/>
        <w:gridCol w:w="1660"/>
        <w:gridCol w:w="1660"/>
        <w:gridCol w:w="1174"/>
        <w:gridCol w:w="1131"/>
      </w:tblGrid>
      <w:tr w:rsidR="00076E84" w:rsidRPr="00774066" w:rsidTr="00CF6359">
        <w:trPr>
          <w:trHeight w:val="600"/>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lastRenderedPageBreak/>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0" w:type="auto"/>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0" w:type="auto"/>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AF1142">
              <w:rPr>
                <w:sz w:val="16"/>
                <w:szCs w:val="16"/>
              </w:rPr>
              <w:t>7=5-4</w:t>
            </w:r>
          </w:p>
        </w:tc>
      </w:tr>
      <w:tr w:rsidR="00076E84" w:rsidTr="00CF6359">
        <w:trPr>
          <w:trHeight w:val="300"/>
        </w:trPr>
        <w:tc>
          <w:tcPr>
            <w:tcW w:w="0" w:type="auto"/>
            <w:noWrap/>
            <w:vAlign w:val="center"/>
            <w:hideMark/>
          </w:tcPr>
          <w:p w:rsidR="00076E84" w:rsidRPr="000362D3" w:rsidRDefault="00076E84" w:rsidP="00CF6359">
            <w:pPr>
              <w:jc w:val="right"/>
            </w:pPr>
            <w:r>
              <w:t>164</w:t>
            </w:r>
          </w:p>
        </w:tc>
        <w:tc>
          <w:tcPr>
            <w:tcW w:w="0" w:type="auto"/>
            <w:vAlign w:val="center"/>
            <w:hideMark/>
          </w:tcPr>
          <w:p w:rsidR="00076E84" w:rsidRPr="000362D3" w:rsidRDefault="00076E84" w:rsidP="00CF6359">
            <w:r w:rsidRPr="00600098">
              <w:t>Potraživanja za prihode od imovine</w:t>
            </w:r>
          </w:p>
        </w:tc>
        <w:tc>
          <w:tcPr>
            <w:tcW w:w="0" w:type="auto"/>
            <w:noWrap/>
            <w:vAlign w:val="center"/>
            <w:hideMark/>
          </w:tcPr>
          <w:p w:rsidR="00076E84" w:rsidRPr="000362D3" w:rsidRDefault="00076E84" w:rsidP="00CF6359">
            <w:pPr>
              <w:jc w:val="right"/>
            </w:pPr>
            <w:r>
              <w:t>151</w:t>
            </w:r>
          </w:p>
        </w:tc>
        <w:tc>
          <w:tcPr>
            <w:tcW w:w="0" w:type="auto"/>
            <w:noWrap/>
            <w:vAlign w:val="center"/>
            <w:hideMark/>
          </w:tcPr>
          <w:p w:rsidR="00076E84" w:rsidRPr="00E26CDE" w:rsidRDefault="00076E84" w:rsidP="00CF6359">
            <w:pPr>
              <w:jc w:val="right"/>
            </w:pPr>
            <w:r w:rsidRPr="000652F5">
              <w:t>166.085.912</w:t>
            </w:r>
          </w:p>
        </w:tc>
        <w:tc>
          <w:tcPr>
            <w:tcW w:w="0" w:type="auto"/>
            <w:noWrap/>
            <w:vAlign w:val="center"/>
          </w:tcPr>
          <w:p w:rsidR="00076E84" w:rsidRDefault="00076E84" w:rsidP="00CF6359">
            <w:pPr>
              <w:jc w:val="right"/>
            </w:pPr>
            <w:r>
              <w:t>172.869.334</w:t>
            </w:r>
          </w:p>
        </w:tc>
        <w:tc>
          <w:tcPr>
            <w:tcW w:w="0" w:type="auto"/>
            <w:noWrap/>
            <w:vAlign w:val="center"/>
          </w:tcPr>
          <w:p w:rsidR="00076E84" w:rsidRPr="003F015E" w:rsidRDefault="00076E84" w:rsidP="00CF6359">
            <w:pPr>
              <w:jc w:val="right"/>
            </w:pPr>
            <w:r>
              <w:t>104,1</w:t>
            </w:r>
          </w:p>
        </w:tc>
        <w:tc>
          <w:tcPr>
            <w:tcW w:w="0" w:type="auto"/>
            <w:noWrap/>
            <w:vAlign w:val="center"/>
          </w:tcPr>
          <w:p w:rsidR="00076E84" w:rsidRDefault="00076E84" w:rsidP="00CF6359">
            <w:pPr>
              <w:jc w:val="right"/>
            </w:pPr>
            <w:r>
              <w:t>6.783.422</w:t>
            </w:r>
          </w:p>
        </w:tc>
      </w:tr>
    </w:tbl>
    <w:p w:rsidR="00076E84" w:rsidRDefault="00076E84" w:rsidP="00076E84">
      <w:pPr>
        <w:spacing w:after="0"/>
      </w:pPr>
    </w:p>
    <w:p w:rsidR="00076E84" w:rsidRDefault="00076E84" w:rsidP="00076E84">
      <w:r>
        <w:t>Prikaz analitike potraživanja za prihode od imovine iz Glavne knjige:</w:t>
      </w:r>
    </w:p>
    <w:tbl>
      <w:tblPr>
        <w:tblStyle w:val="TableGrid"/>
        <w:tblW w:w="9073" w:type="dxa"/>
        <w:jc w:val="right"/>
        <w:tblLook w:val="04A0" w:firstRow="1" w:lastRow="0" w:firstColumn="1" w:lastColumn="0" w:noHBand="0" w:noVBand="1"/>
      </w:tblPr>
      <w:tblGrid>
        <w:gridCol w:w="1215"/>
        <w:gridCol w:w="3774"/>
        <w:gridCol w:w="1338"/>
        <w:gridCol w:w="1338"/>
        <w:gridCol w:w="1408"/>
      </w:tblGrid>
      <w:tr w:rsidR="00076E84" w:rsidTr="00CF6359">
        <w:trPr>
          <w:trHeight w:val="488"/>
          <w:jc w:val="right"/>
        </w:trPr>
        <w:tc>
          <w:tcPr>
            <w:tcW w:w="1215" w:type="dxa"/>
            <w:tcBorders>
              <w:bottom w:val="single" w:sz="4" w:space="0" w:color="auto"/>
            </w:tcBorders>
            <w:shd w:val="clear" w:color="auto" w:fill="DEEAF6" w:themeFill="accent1" w:themeFillTint="33"/>
            <w:vAlign w:val="center"/>
          </w:tcPr>
          <w:p w:rsidR="00076E84" w:rsidRPr="00743F04" w:rsidRDefault="00076E84" w:rsidP="00CF6359">
            <w:pPr>
              <w:jc w:val="center"/>
              <w:rPr>
                <w:sz w:val="20"/>
                <w:szCs w:val="20"/>
              </w:rPr>
            </w:pPr>
            <w:r>
              <w:rPr>
                <w:sz w:val="20"/>
                <w:szCs w:val="20"/>
              </w:rPr>
              <w:t>BROJ RAČUNA</w:t>
            </w:r>
          </w:p>
        </w:tc>
        <w:tc>
          <w:tcPr>
            <w:tcW w:w="3774" w:type="dxa"/>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1338" w:type="dxa"/>
            <w:tcBorders>
              <w:bottom w:val="single" w:sz="4" w:space="0" w:color="auto"/>
            </w:tcBorders>
            <w:shd w:val="clear" w:color="auto" w:fill="DEEAF6" w:themeFill="accent1" w:themeFillTint="33"/>
          </w:tcPr>
          <w:p w:rsidR="00076E84" w:rsidRDefault="00076E84" w:rsidP="00CF6359">
            <w:pPr>
              <w:jc w:val="center"/>
            </w:pPr>
            <w:r w:rsidRPr="00774066">
              <w:t>Stanje 01.01.1</w:t>
            </w:r>
            <w:r>
              <w:t>8</w:t>
            </w:r>
            <w:r w:rsidRPr="00774066">
              <w:t>.</w:t>
            </w:r>
          </w:p>
        </w:tc>
        <w:tc>
          <w:tcPr>
            <w:tcW w:w="1338" w:type="dxa"/>
            <w:tcBorders>
              <w:bottom w:val="single" w:sz="4" w:space="0" w:color="auto"/>
            </w:tcBorders>
            <w:shd w:val="clear" w:color="auto" w:fill="DEEAF6" w:themeFill="accent1" w:themeFillTint="33"/>
          </w:tcPr>
          <w:p w:rsidR="00076E84" w:rsidRDefault="00076E84" w:rsidP="00CF6359">
            <w:pPr>
              <w:jc w:val="center"/>
            </w:pPr>
            <w:r w:rsidRPr="00774066">
              <w:t>Stanje 31.12.1</w:t>
            </w:r>
            <w:r>
              <w:t>8</w:t>
            </w:r>
            <w:r w:rsidRPr="00774066">
              <w:t>.</w:t>
            </w:r>
          </w:p>
        </w:tc>
        <w:tc>
          <w:tcPr>
            <w:tcW w:w="1408" w:type="dxa"/>
            <w:tcBorders>
              <w:bottom w:val="single" w:sz="4" w:space="0" w:color="auto"/>
            </w:tcBorders>
            <w:shd w:val="clear" w:color="auto" w:fill="DEEAF6" w:themeFill="accent1" w:themeFillTint="33"/>
            <w:vAlign w:val="center"/>
          </w:tcPr>
          <w:p w:rsidR="00076E84" w:rsidRDefault="00076E84" w:rsidP="00CF6359">
            <w:pPr>
              <w:jc w:val="center"/>
            </w:pPr>
            <w:r>
              <w:t>Povećanje/</w:t>
            </w:r>
          </w:p>
          <w:p w:rsidR="00076E84" w:rsidRDefault="00076E84" w:rsidP="00CF6359">
            <w:pPr>
              <w:jc w:val="center"/>
            </w:pPr>
            <w:r>
              <w:t>Smanjenje</w:t>
            </w:r>
          </w:p>
        </w:tc>
      </w:tr>
      <w:tr w:rsidR="00076E84" w:rsidRPr="00BE576B" w:rsidTr="00CF6359">
        <w:trPr>
          <w:trHeight w:val="112"/>
          <w:jc w:val="right"/>
        </w:trPr>
        <w:tc>
          <w:tcPr>
            <w:tcW w:w="1215" w:type="dxa"/>
            <w:shd w:val="clear" w:color="auto" w:fill="DEEAF6" w:themeFill="accent1" w:themeFillTint="33"/>
          </w:tcPr>
          <w:p w:rsidR="00076E84" w:rsidRPr="00BE576B" w:rsidRDefault="00076E84" w:rsidP="00CF6359">
            <w:pPr>
              <w:jc w:val="center"/>
              <w:rPr>
                <w:sz w:val="16"/>
                <w:szCs w:val="16"/>
              </w:rPr>
            </w:pPr>
            <w:r w:rsidRPr="00BE576B">
              <w:rPr>
                <w:sz w:val="16"/>
                <w:szCs w:val="16"/>
              </w:rPr>
              <w:t>1</w:t>
            </w:r>
          </w:p>
        </w:tc>
        <w:tc>
          <w:tcPr>
            <w:tcW w:w="3774" w:type="dxa"/>
            <w:shd w:val="clear" w:color="auto" w:fill="DEEAF6" w:themeFill="accent1" w:themeFillTint="33"/>
          </w:tcPr>
          <w:p w:rsidR="00076E84" w:rsidRPr="00BE576B" w:rsidRDefault="00076E84" w:rsidP="00CF6359">
            <w:pPr>
              <w:jc w:val="center"/>
              <w:rPr>
                <w:sz w:val="16"/>
                <w:szCs w:val="16"/>
              </w:rPr>
            </w:pPr>
            <w:r w:rsidRPr="00BE576B">
              <w:rPr>
                <w:sz w:val="16"/>
                <w:szCs w:val="16"/>
              </w:rPr>
              <w:t>2</w:t>
            </w:r>
          </w:p>
        </w:tc>
        <w:tc>
          <w:tcPr>
            <w:tcW w:w="1338" w:type="dxa"/>
            <w:shd w:val="clear" w:color="auto" w:fill="DEEAF6" w:themeFill="accent1" w:themeFillTint="33"/>
          </w:tcPr>
          <w:p w:rsidR="00076E84" w:rsidRPr="00BE576B" w:rsidRDefault="00076E84" w:rsidP="00CF6359">
            <w:pPr>
              <w:jc w:val="center"/>
              <w:rPr>
                <w:sz w:val="16"/>
                <w:szCs w:val="16"/>
              </w:rPr>
            </w:pPr>
            <w:r>
              <w:rPr>
                <w:sz w:val="16"/>
                <w:szCs w:val="16"/>
              </w:rPr>
              <w:t>3</w:t>
            </w:r>
          </w:p>
        </w:tc>
        <w:tc>
          <w:tcPr>
            <w:tcW w:w="1338" w:type="dxa"/>
            <w:shd w:val="clear" w:color="auto" w:fill="DEEAF6" w:themeFill="accent1" w:themeFillTint="33"/>
          </w:tcPr>
          <w:p w:rsidR="00076E84" w:rsidRPr="00BE576B" w:rsidRDefault="00076E84" w:rsidP="00CF6359">
            <w:pPr>
              <w:jc w:val="center"/>
              <w:rPr>
                <w:sz w:val="16"/>
                <w:szCs w:val="16"/>
              </w:rPr>
            </w:pPr>
            <w:r>
              <w:rPr>
                <w:sz w:val="16"/>
                <w:szCs w:val="16"/>
              </w:rPr>
              <w:t>4</w:t>
            </w:r>
          </w:p>
        </w:tc>
        <w:tc>
          <w:tcPr>
            <w:tcW w:w="1408" w:type="dxa"/>
            <w:shd w:val="clear" w:color="auto" w:fill="DEEAF6" w:themeFill="accent1" w:themeFillTint="33"/>
          </w:tcPr>
          <w:p w:rsidR="00076E84" w:rsidRPr="00BE576B" w:rsidRDefault="00076E84" w:rsidP="00CF6359">
            <w:pPr>
              <w:jc w:val="center"/>
              <w:rPr>
                <w:sz w:val="16"/>
                <w:szCs w:val="16"/>
              </w:rPr>
            </w:pPr>
            <w:r>
              <w:rPr>
                <w:sz w:val="16"/>
                <w:szCs w:val="16"/>
              </w:rPr>
              <w:t>5=4-3</w:t>
            </w:r>
          </w:p>
        </w:tc>
      </w:tr>
      <w:tr w:rsidR="00076E84" w:rsidTr="00CF6359">
        <w:trPr>
          <w:jc w:val="right"/>
        </w:trPr>
        <w:tc>
          <w:tcPr>
            <w:tcW w:w="1215" w:type="dxa"/>
          </w:tcPr>
          <w:p w:rsidR="00076E84" w:rsidRDefault="00076E84" w:rsidP="00CF6359"/>
        </w:tc>
        <w:tc>
          <w:tcPr>
            <w:tcW w:w="3774" w:type="dxa"/>
          </w:tcPr>
          <w:p w:rsidR="00076E84" w:rsidRDefault="00076E84" w:rsidP="00CF6359">
            <w:r>
              <w:t>Kamate na oročena sredstva i depozite po viđenju – Centar banka d.d. u stečaju</w:t>
            </w:r>
          </w:p>
        </w:tc>
        <w:tc>
          <w:tcPr>
            <w:tcW w:w="1338" w:type="dxa"/>
            <w:vAlign w:val="center"/>
          </w:tcPr>
          <w:p w:rsidR="00076E84" w:rsidRPr="00CF728D" w:rsidRDefault="00076E84" w:rsidP="00CF6359">
            <w:pPr>
              <w:jc w:val="right"/>
            </w:pPr>
            <w:r w:rsidRPr="00CF728D">
              <w:t>83.178</w:t>
            </w:r>
          </w:p>
        </w:tc>
        <w:tc>
          <w:tcPr>
            <w:tcW w:w="1338" w:type="dxa"/>
            <w:vAlign w:val="center"/>
          </w:tcPr>
          <w:p w:rsidR="00076E84" w:rsidRDefault="00076E84" w:rsidP="00CF6359">
            <w:pPr>
              <w:jc w:val="right"/>
            </w:pPr>
            <w:r>
              <w:t>83.178</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tc>
        <w:tc>
          <w:tcPr>
            <w:tcW w:w="3774" w:type="dxa"/>
          </w:tcPr>
          <w:p w:rsidR="00076E84" w:rsidRDefault="00076E84" w:rsidP="00CF6359">
            <w:r>
              <w:t>Zatezne kamate – SANK d.o.o.</w:t>
            </w:r>
          </w:p>
        </w:tc>
        <w:tc>
          <w:tcPr>
            <w:tcW w:w="1338" w:type="dxa"/>
            <w:vAlign w:val="center"/>
          </w:tcPr>
          <w:p w:rsidR="00076E84" w:rsidRPr="00CF728D" w:rsidRDefault="00076E84" w:rsidP="00CF6359">
            <w:pPr>
              <w:jc w:val="right"/>
            </w:pPr>
            <w:r w:rsidRPr="00CF728D">
              <w:t>4.146</w:t>
            </w:r>
          </w:p>
        </w:tc>
        <w:tc>
          <w:tcPr>
            <w:tcW w:w="1338" w:type="dxa"/>
            <w:vAlign w:val="center"/>
          </w:tcPr>
          <w:p w:rsidR="00076E84" w:rsidRDefault="00076E84" w:rsidP="00CF6359">
            <w:pPr>
              <w:jc w:val="right"/>
            </w:pPr>
            <w:r>
              <w:t>4.146</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tc>
        <w:tc>
          <w:tcPr>
            <w:tcW w:w="3774" w:type="dxa"/>
          </w:tcPr>
          <w:p w:rsidR="00076E84" w:rsidRDefault="00076E84" w:rsidP="00CF6359">
            <w:r w:rsidRPr="000D286F">
              <w:t>Kamate na dane zajmove trgovačkim društvima u javnom sektoru – Vodoprivreda Zagreb d.d.</w:t>
            </w:r>
          </w:p>
        </w:tc>
        <w:tc>
          <w:tcPr>
            <w:tcW w:w="1338" w:type="dxa"/>
            <w:vAlign w:val="center"/>
          </w:tcPr>
          <w:p w:rsidR="00076E84" w:rsidRPr="00CF728D" w:rsidRDefault="00076E84" w:rsidP="00CF6359">
            <w:pPr>
              <w:jc w:val="right"/>
            </w:pPr>
            <w:r>
              <w:t>38.085</w:t>
            </w:r>
          </w:p>
        </w:tc>
        <w:tc>
          <w:tcPr>
            <w:tcW w:w="1338" w:type="dxa"/>
            <w:vAlign w:val="center"/>
          </w:tcPr>
          <w:p w:rsidR="00076E84" w:rsidRDefault="00076E84" w:rsidP="00CF6359">
            <w:pPr>
              <w:jc w:val="right"/>
            </w:pPr>
            <w:r>
              <w:t>0</w:t>
            </w:r>
          </w:p>
        </w:tc>
        <w:tc>
          <w:tcPr>
            <w:tcW w:w="1408" w:type="dxa"/>
            <w:vAlign w:val="center"/>
          </w:tcPr>
          <w:p w:rsidR="00076E84" w:rsidRDefault="00076E84" w:rsidP="00CF6359">
            <w:pPr>
              <w:jc w:val="right"/>
            </w:pPr>
            <w:r>
              <w:t>-38.085</w:t>
            </w:r>
          </w:p>
        </w:tc>
      </w:tr>
      <w:tr w:rsidR="00076E84" w:rsidTr="00CF6359">
        <w:trPr>
          <w:jc w:val="right"/>
        </w:trPr>
        <w:tc>
          <w:tcPr>
            <w:tcW w:w="1215" w:type="dxa"/>
          </w:tcPr>
          <w:p w:rsidR="00076E84" w:rsidRDefault="00076E84" w:rsidP="00CF6359"/>
        </w:tc>
        <w:tc>
          <w:tcPr>
            <w:tcW w:w="3774" w:type="dxa"/>
          </w:tcPr>
          <w:p w:rsidR="00076E84" w:rsidRDefault="00076E84" w:rsidP="00CF6359">
            <w:r>
              <w:t>Kamate na dane zajmove kreditnim i ostalim financijskim institucijama izvan javnog sektora – Drvo Sertić d.o.o.</w:t>
            </w:r>
          </w:p>
        </w:tc>
        <w:tc>
          <w:tcPr>
            <w:tcW w:w="1338" w:type="dxa"/>
            <w:vAlign w:val="center"/>
          </w:tcPr>
          <w:p w:rsidR="00076E84" w:rsidRPr="00CF728D" w:rsidRDefault="00076E84" w:rsidP="00CF6359">
            <w:pPr>
              <w:jc w:val="right"/>
            </w:pPr>
            <w:r w:rsidRPr="00CF728D">
              <w:t>1.355.687</w:t>
            </w:r>
          </w:p>
        </w:tc>
        <w:tc>
          <w:tcPr>
            <w:tcW w:w="1338" w:type="dxa"/>
            <w:vAlign w:val="center"/>
          </w:tcPr>
          <w:p w:rsidR="00076E84" w:rsidRDefault="00076E84" w:rsidP="00CF6359">
            <w:pPr>
              <w:jc w:val="right"/>
            </w:pPr>
            <w:r>
              <w:t>1.355.687</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tc>
        <w:tc>
          <w:tcPr>
            <w:tcW w:w="3774" w:type="dxa"/>
          </w:tcPr>
          <w:p w:rsidR="00076E84" w:rsidRDefault="00076E84" w:rsidP="00CF6359">
            <w:r>
              <w:t>Kamate na dane zajmove trgovačkim društvima i obrtnicima izvan javnog sektora – SANK d.o.o.</w:t>
            </w:r>
          </w:p>
        </w:tc>
        <w:tc>
          <w:tcPr>
            <w:tcW w:w="1338" w:type="dxa"/>
            <w:vAlign w:val="center"/>
          </w:tcPr>
          <w:p w:rsidR="00076E84" w:rsidRPr="00CF728D" w:rsidRDefault="00076E84" w:rsidP="00CF6359">
            <w:pPr>
              <w:jc w:val="right"/>
            </w:pPr>
            <w:r w:rsidRPr="00CF728D">
              <w:t>136.714</w:t>
            </w:r>
          </w:p>
        </w:tc>
        <w:tc>
          <w:tcPr>
            <w:tcW w:w="1338" w:type="dxa"/>
            <w:vAlign w:val="center"/>
          </w:tcPr>
          <w:p w:rsidR="00076E84" w:rsidRDefault="00076E84" w:rsidP="00CF6359">
            <w:pPr>
              <w:jc w:val="right"/>
            </w:pPr>
            <w:r>
              <w:t>136.714</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r>
              <w:t>16414301</w:t>
            </w:r>
          </w:p>
        </w:tc>
        <w:tc>
          <w:tcPr>
            <w:tcW w:w="3774" w:type="dxa"/>
          </w:tcPr>
          <w:p w:rsidR="00076E84" w:rsidRDefault="00076E84" w:rsidP="00CF6359">
            <w:r>
              <w:t>Zatezne kamate po prihodima od prodaje zemljišta</w:t>
            </w:r>
          </w:p>
        </w:tc>
        <w:tc>
          <w:tcPr>
            <w:tcW w:w="1338" w:type="dxa"/>
            <w:vAlign w:val="center"/>
          </w:tcPr>
          <w:p w:rsidR="00076E84" w:rsidRPr="00CF728D" w:rsidRDefault="00076E84" w:rsidP="00CF6359">
            <w:pPr>
              <w:jc w:val="right"/>
            </w:pPr>
            <w:r w:rsidRPr="00CF728D">
              <w:t>84.991.404</w:t>
            </w:r>
          </w:p>
        </w:tc>
        <w:tc>
          <w:tcPr>
            <w:tcW w:w="1338" w:type="dxa"/>
            <w:vAlign w:val="center"/>
          </w:tcPr>
          <w:p w:rsidR="00076E84" w:rsidRDefault="00076E84" w:rsidP="00CF6359">
            <w:pPr>
              <w:jc w:val="right"/>
            </w:pPr>
            <w:r>
              <w:t>85.207.246</w:t>
            </w:r>
          </w:p>
        </w:tc>
        <w:tc>
          <w:tcPr>
            <w:tcW w:w="1408" w:type="dxa"/>
            <w:vAlign w:val="center"/>
          </w:tcPr>
          <w:p w:rsidR="00076E84" w:rsidRDefault="00076E84" w:rsidP="00CF6359">
            <w:pPr>
              <w:jc w:val="right"/>
            </w:pPr>
            <w:r>
              <w:t>215.842</w:t>
            </w:r>
          </w:p>
        </w:tc>
      </w:tr>
      <w:tr w:rsidR="00076E84" w:rsidTr="00CF6359">
        <w:trPr>
          <w:jc w:val="right"/>
        </w:trPr>
        <w:tc>
          <w:tcPr>
            <w:tcW w:w="1215" w:type="dxa"/>
          </w:tcPr>
          <w:p w:rsidR="00076E84" w:rsidRDefault="00076E84" w:rsidP="00CF6359">
            <w:r>
              <w:t>16414302</w:t>
            </w:r>
          </w:p>
        </w:tc>
        <w:tc>
          <w:tcPr>
            <w:tcW w:w="3774" w:type="dxa"/>
          </w:tcPr>
          <w:p w:rsidR="00076E84" w:rsidRDefault="00076E84" w:rsidP="00CF6359">
            <w:r>
              <w:t>Zatezne kamate po ugovorima o pravu građenja</w:t>
            </w:r>
          </w:p>
        </w:tc>
        <w:tc>
          <w:tcPr>
            <w:tcW w:w="1338" w:type="dxa"/>
            <w:vAlign w:val="center"/>
          </w:tcPr>
          <w:p w:rsidR="00076E84" w:rsidRPr="00CF728D" w:rsidRDefault="00076E84" w:rsidP="00CF6359">
            <w:pPr>
              <w:jc w:val="right"/>
            </w:pPr>
            <w:r w:rsidRPr="00CF728D">
              <w:t>2.532.555</w:t>
            </w:r>
          </w:p>
        </w:tc>
        <w:tc>
          <w:tcPr>
            <w:tcW w:w="1338" w:type="dxa"/>
            <w:vAlign w:val="center"/>
          </w:tcPr>
          <w:p w:rsidR="00076E84" w:rsidRDefault="00076E84" w:rsidP="00CF6359">
            <w:pPr>
              <w:jc w:val="right"/>
            </w:pPr>
            <w:r>
              <w:t>6.880.311</w:t>
            </w:r>
          </w:p>
        </w:tc>
        <w:tc>
          <w:tcPr>
            <w:tcW w:w="1408" w:type="dxa"/>
            <w:vAlign w:val="center"/>
          </w:tcPr>
          <w:p w:rsidR="00076E84" w:rsidRDefault="00076E84" w:rsidP="00CF6359">
            <w:pPr>
              <w:jc w:val="right"/>
            </w:pPr>
            <w:r>
              <w:t>4.347.756</w:t>
            </w:r>
          </w:p>
        </w:tc>
      </w:tr>
      <w:tr w:rsidR="00076E84" w:rsidTr="00CF6359">
        <w:trPr>
          <w:jc w:val="right"/>
        </w:trPr>
        <w:tc>
          <w:tcPr>
            <w:tcW w:w="1215" w:type="dxa"/>
          </w:tcPr>
          <w:p w:rsidR="00076E84" w:rsidRDefault="00076E84" w:rsidP="00CF6359">
            <w:r>
              <w:t>16421903</w:t>
            </w:r>
          </w:p>
        </w:tc>
        <w:tc>
          <w:tcPr>
            <w:tcW w:w="3774" w:type="dxa"/>
          </w:tcPr>
          <w:p w:rsidR="00076E84" w:rsidRDefault="00076E84" w:rsidP="00CF6359">
            <w:r>
              <w:t>Koncesije za obavljanje pogrebnih usluga</w:t>
            </w:r>
          </w:p>
        </w:tc>
        <w:tc>
          <w:tcPr>
            <w:tcW w:w="1338" w:type="dxa"/>
            <w:vAlign w:val="center"/>
          </w:tcPr>
          <w:p w:rsidR="00076E84" w:rsidRPr="00CF728D" w:rsidRDefault="00076E84" w:rsidP="00CF6359">
            <w:pPr>
              <w:jc w:val="right"/>
            </w:pPr>
            <w:r w:rsidRPr="00CF728D">
              <w:t>27.654</w:t>
            </w:r>
          </w:p>
        </w:tc>
        <w:tc>
          <w:tcPr>
            <w:tcW w:w="1338" w:type="dxa"/>
            <w:vAlign w:val="center"/>
          </w:tcPr>
          <w:p w:rsidR="00076E84" w:rsidRDefault="00076E84" w:rsidP="00CF6359">
            <w:pPr>
              <w:jc w:val="right"/>
            </w:pPr>
            <w:r>
              <w:t>27.654</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r>
              <w:t>16421908</w:t>
            </w:r>
          </w:p>
        </w:tc>
        <w:tc>
          <w:tcPr>
            <w:tcW w:w="3774" w:type="dxa"/>
          </w:tcPr>
          <w:p w:rsidR="00076E84" w:rsidRDefault="00076E84" w:rsidP="00CF6359">
            <w:r>
              <w:t>Koncesije za obavljanje javne zdravstvene službe</w:t>
            </w:r>
          </w:p>
        </w:tc>
        <w:tc>
          <w:tcPr>
            <w:tcW w:w="1338" w:type="dxa"/>
            <w:vAlign w:val="center"/>
          </w:tcPr>
          <w:p w:rsidR="00076E84" w:rsidRPr="00CF728D" w:rsidRDefault="00076E84" w:rsidP="00CF6359">
            <w:pPr>
              <w:jc w:val="right"/>
            </w:pPr>
            <w:r w:rsidRPr="00CF728D">
              <w:t>876.429</w:t>
            </w:r>
          </w:p>
        </w:tc>
        <w:tc>
          <w:tcPr>
            <w:tcW w:w="1338" w:type="dxa"/>
            <w:vAlign w:val="center"/>
          </w:tcPr>
          <w:p w:rsidR="00076E84" w:rsidRDefault="00076E84" w:rsidP="00CF6359">
            <w:pPr>
              <w:jc w:val="right"/>
            </w:pPr>
            <w:r>
              <w:t>1.039.427</w:t>
            </w:r>
          </w:p>
        </w:tc>
        <w:tc>
          <w:tcPr>
            <w:tcW w:w="1408" w:type="dxa"/>
            <w:vAlign w:val="center"/>
          </w:tcPr>
          <w:p w:rsidR="00076E84" w:rsidRDefault="00076E84" w:rsidP="00CF6359">
            <w:pPr>
              <w:jc w:val="right"/>
            </w:pPr>
            <w:r>
              <w:t>162.998</w:t>
            </w:r>
          </w:p>
        </w:tc>
      </w:tr>
      <w:tr w:rsidR="00076E84" w:rsidTr="00CF6359">
        <w:trPr>
          <w:jc w:val="right"/>
        </w:trPr>
        <w:tc>
          <w:tcPr>
            <w:tcW w:w="1215" w:type="dxa"/>
          </w:tcPr>
          <w:p w:rsidR="00076E84" w:rsidRDefault="00076E84" w:rsidP="00CF6359">
            <w:r>
              <w:t>16421909</w:t>
            </w:r>
          </w:p>
        </w:tc>
        <w:tc>
          <w:tcPr>
            <w:tcW w:w="3774" w:type="dxa"/>
          </w:tcPr>
          <w:p w:rsidR="00076E84" w:rsidRDefault="00076E84" w:rsidP="00CF6359">
            <w:r>
              <w:t>Koncesija za čišćenje septičkih i sabirnih jama</w:t>
            </w:r>
          </w:p>
        </w:tc>
        <w:tc>
          <w:tcPr>
            <w:tcW w:w="1338" w:type="dxa"/>
            <w:vAlign w:val="center"/>
          </w:tcPr>
          <w:p w:rsidR="00076E84" w:rsidRPr="00CF728D" w:rsidRDefault="00076E84" w:rsidP="00CF6359">
            <w:pPr>
              <w:jc w:val="right"/>
            </w:pPr>
            <w:r w:rsidRPr="00CF728D">
              <w:t>35.766</w:t>
            </w:r>
          </w:p>
        </w:tc>
        <w:tc>
          <w:tcPr>
            <w:tcW w:w="1338" w:type="dxa"/>
            <w:vAlign w:val="center"/>
          </w:tcPr>
          <w:p w:rsidR="00076E84" w:rsidRDefault="00076E84" w:rsidP="00CF6359">
            <w:pPr>
              <w:jc w:val="right"/>
            </w:pPr>
            <w:r>
              <w:t>2</w:t>
            </w:r>
          </w:p>
        </w:tc>
        <w:tc>
          <w:tcPr>
            <w:tcW w:w="1408" w:type="dxa"/>
            <w:vAlign w:val="center"/>
          </w:tcPr>
          <w:p w:rsidR="00076E84" w:rsidRDefault="00076E84" w:rsidP="00CF6359">
            <w:pPr>
              <w:jc w:val="right"/>
            </w:pPr>
            <w:r>
              <w:t>-35.764</w:t>
            </w:r>
          </w:p>
        </w:tc>
      </w:tr>
      <w:tr w:rsidR="00076E84" w:rsidTr="00CF6359">
        <w:trPr>
          <w:jc w:val="right"/>
        </w:trPr>
        <w:tc>
          <w:tcPr>
            <w:tcW w:w="1215" w:type="dxa"/>
          </w:tcPr>
          <w:p w:rsidR="00076E84" w:rsidRDefault="00076E84" w:rsidP="00CF6359">
            <w:r>
              <w:t>16422202</w:t>
            </w:r>
          </w:p>
        </w:tc>
        <w:tc>
          <w:tcPr>
            <w:tcW w:w="3774" w:type="dxa"/>
          </w:tcPr>
          <w:p w:rsidR="00076E84" w:rsidRDefault="00076E84" w:rsidP="00CF6359">
            <w:r>
              <w:t>Zakup poljoprivrednog zemljišta</w:t>
            </w:r>
          </w:p>
        </w:tc>
        <w:tc>
          <w:tcPr>
            <w:tcW w:w="1338" w:type="dxa"/>
            <w:vAlign w:val="center"/>
          </w:tcPr>
          <w:p w:rsidR="00076E84" w:rsidRPr="00CF728D" w:rsidRDefault="00076E84" w:rsidP="00CF6359">
            <w:pPr>
              <w:jc w:val="right"/>
            </w:pPr>
            <w:r w:rsidRPr="00CF728D">
              <w:t>3.722</w:t>
            </w:r>
          </w:p>
        </w:tc>
        <w:tc>
          <w:tcPr>
            <w:tcW w:w="1338" w:type="dxa"/>
            <w:vAlign w:val="center"/>
          </w:tcPr>
          <w:p w:rsidR="00076E84" w:rsidRDefault="00076E84" w:rsidP="00CF6359">
            <w:pPr>
              <w:jc w:val="right"/>
            </w:pPr>
            <w:r>
              <w:t>3.722</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r>
              <w:t>16422203</w:t>
            </w:r>
          </w:p>
        </w:tc>
        <w:tc>
          <w:tcPr>
            <w:tcW w:w="3774" w:type="dxa"/>
          </w:tcPr>
          <w:p w:rsidR="00076E84" w:rsidRDefault="00076E84" w:rsidP="00CF6359">
            <w:r>
              <w:t>Zakup poljoprivrednog zemljišta u vlasništvu države</w:t>
            </w:r>
          </w:p>
        </w:tc>
        <w:tc>
          <w:tcPr>
            <w:tcW w:w="1338" w:type="dxa"/>
            <w:vAlign w:val="center"/>
          </w:tcPr>
          <w:p w:rsidR="00076E84" w:rsidRPr="00CF728D" w:rsidRDefault="00076E84" w:rsidP="00CF6359">
            <w:pPr>
              <w:jc w:val="right"/>
            </w:pPr>
            <w:r w:rsidRPr="00CF728D">
              <w:t>31.775</w:t>
            </w:r>
          </w:p>
        </w:tc>
        <w:tc>
          <w:tcPr>
            <w:tcW w:w="1338" w:type="dxa"/>
            <w:vAlign w:val="center"/>
          </w:tcPr>
          <w:p w:rsidR="00076E84" w:rsidRDefault="00076E84" w:rsidP="00CF6359">
            <w:pPr>
              <w:jc w:val="right"/>
            </w:pPr>
            <w:r>
              <w:t>42.367</w:t>
            </w:r>
          </w:p>
        </w:tc>
        <w:tc>
          <w:tcPr>
            <w:tcW w:w="1408" w:type="dxa"/>
            <w:vAlign w:val="center"/>
          </w:tcPr>
          <w:p w:rsidR="00076E84" w:rsidRDefault="00076E84" w:rsidP="00CF6359">
            <w:pPr>
              <w:jc w:val="right"/>
            </w:pPr>
            <w:r>
              <w:t>10.592</w:t>
            </w:r>
          </w:p>
        </w:tc>
      </w:tr>
      <w:tr w:rsidR="00076E84" w:rsidTr="00CF6359">
        <w:trPr>
          <w:jc w:val="right"/>
        </w:trPr>
        <w:tc>
          <w:tcPr>
            <w:tcW w:w="1215" w:type="dxa"/>
          </w:tcPr>
          <w:p w:rsidR="00076E84" w:rsidRDefault="00076E84" w:rsidP="00CF6359">
            <w:r>
              <w:t>16422400</w:t>
            </w:r>
          </w:p>
        </w:tc>
        <w:tc>
          <w:tcPr>
            <w:tcW w:w="3774" w:type="dxa"/>
          </w:tcPr>
          <w:p w:rsidR="00076E84" w:rsidRDefault="00076E84" w:rsidP="00CF6359">
            <w:r>
              <w:t>Najam stanova</w:t>
            </w:r>
          </w:p>
        </w:tc>
        <w:tc>
          <w:tcPr>
            <w:tcW w:w="1338" w:type="dxa"/>
            <w:vAlign w:val="center"/>
          </w:tcPr>
          <w:p w:rsidR="00076E84" w:rsidRPr="00CF728D" w:rsidRDefault="00076E84" w:rsidP="00CF6359">
            <w:pPr>
              <w:jc w:val="right"/>
            </w:pPr>
            <w:r w:rsidRPr="00CF728D">
              <w:t>6.370.757</w:t>
            </w:r>
          </w:p>
        </w:tc>
        <w:tc>
          <w:tcPr>
            <w:tcW w:w="1338" w:type="dxa"/>
            <w:vAlign w:val="center"/>
          </w:tcPr>
          <w:p w:rsidR="00076E84" w:rsidRDefault="00076E84" w:rsidP="00CF6359">
            <w:pPr>
              <w:jc w:val="right"/>
            </w:pPr>
            <w:r>
              <w:t>11.192.726</w:t>
            </w:r>
          </w:p>
        </w:tc>
        <w:tc>
          <w:tcPr>
            <w:tcW w:w="1408" w:type="dxa"/>
            <w:vAlign w:val="center"/>
          </w:tcPr>
          <w:p w:rsidR="00076E84" w:rsidRDefault="00076E84" w:rsidP="00CF6359">
            <w:pPr>
              <w:jc w:val="right"/>
            </w:pPr>
            <w:r>
              <w:t>4.821.969</w:t>
            </w:r>
          </w:p>
        </w:tc>
      </w:tr>
      <w:tr w:rsidR="00076E84" w:rsidTr="00CF6359">
        <w:trPr>
          <w:jc w:val="right"/>
        </w:trPr>
        <w:tc>
          <w:tcPr>
            <w:tcW w:w="1215" w:type="dxa"/>
          </w:tcPr>
          <w:p w:rsidR="00076E84" w:rsidRDefault="00076E84" w:rsidP="00CF6359">
            <w:r>
              <w:t>16422500</w:t>
            </w:r>
          </w:p>
        </w:tc>
        <w:tc>
          <w:tcPr>
            <w:tcW w:w="3774" w:type="dxa"/>
          </w:tcPr>
          <w:p w:rsidR="00076E84" w:rsidRDefault="00076E84" w:rsidP="00CF6359">
            <w:r>
              <w:t>Zakup nekretnina</w:t>
            </w:r>
          </w:p>
        </w:tc>
        <w:tc>
          <w:tcPr>
            <w:tcW w:w="1338" w:type="dxa"/>
            <w:vAlign w:val="center"/>
          </w:tcPr>
          <w:p w:rsidR="00076E84" w:rsidRPr="00CF728D" w:rsidRDefault="00076E84" w:rsidP="00CF6359">
            <w:pPr>
              <w:jc w:val="right"/>
            </w:pPr>
            <w:r w:rsidRPr="00CF728D">
              <w:t>22.283.215</w:t>
            </w:r>
          </w:p>
        </w:tc>
        <w:tc>
          <w:tcPr>
            <w:tcW w:w="1338" w:type="dxa"/>
            <w:vAlign w:val="center"/>
          </w:tcPr>
          <w:p w:rsidR="00076E84" w:rsidRDefault="00076E84" w:rsidP="00CF6359">
            <w:pPr>
              <w:jc w:val="right"/>
            </w:pPr>
            <w:r>
              <w:t>19.591.944</w:t>
            </w:r>
          </w:p>
        </w:tc>
        <w:tc>
          <w:tcPr>
            <w:tcW w:w="1408" w:type="dxa"/>
            <w:vAlign w:val="center"/>
          </w:tcPr>
          <w:p w:rsidR="00076E84" w:rsidRDefault="00076E84" w:rsidP="00CF6359">
            <w:pPr>
              <w:jc w:val="right"/>
            </w:pPr>
            <w:r>
              <w:t>-2.691.271</w:t>
            </w:r>
          </w:p>
        </w:tc>
      </w:tr>
      <w:tr w:rsidR="00076E84" w:rsidTr="00CF6359">
        <w:trPr>
          <w:jc w:val="right"/>
        </w:trPr>
        <w:tc>
          <w:tcPr>
            <w:tcW w:w="1215" w:type="dxa"/>
          </w:tcPr>
          <w:p w:rsidR="00076E84" w:rsidRDefault="00076E84" w:rsidP="00CF6359"/>
        </w:tc>
        <w:tc>
          <w:tcPr>
            <w:tcW w:w="3774" w:type="dxa"/>
          </w:tcPr>
          <w:p w:rsidR="00076E84" w:rsidRDefault="00076E84" w:rsidP="00CF6359">
            <w:r>
              <w:t>Prihodi od zakupa za:</w:t>
            </w:r>
          </w:p>
        </w:tc>
        <w:tc>
          <w:tcPr>
            <w:tcW w:w="1338" w:type="dxa"/>
            <w:vAlign w:val="center"/>
          </w:tcPr>
          <w:p w:rsidR="00076E84" w:rsidRPr="00CF728D" w:rsidRDefault="00076E84" w:rsidP="00CF6359">
            <w:pPr>
              <w:jc w:val="right"/>
            </w:pPr>
          </w:p>
        </w:tc>
        <w:tc>
          <w:tcPr>
            <w:tcW w:w="1338" w:type="dxa"/>
            <w:vAlign w:val="center"/>
          </w:tcPr>
          <w:p w:rsidR="00076E84" w:rsidRDefault="00076E84" w:rsidP="00CF6359">
            <w:pPr>
              <w:jc w:val="right"/>
            </w:pPr>
          </w:p>
        </w:tc>
        <w:tc>
          <w:tcPr>
            <w:tcW w:w="1408" w:type="dxa"/>
            <w:vAlign w:val="center"/>
          </w:tcPr>
          <w:p w:rsidR="00076E84" w:rsidRDefault="00076E84" w:rsidP="00CF6359">
            <w:pPr>
              <w:jc w:val="right"/>
            </w:pPr>
          </w:p>
        </w:tc>
      </w:tr>
      <w:tr w:rsidR="00076E84" w:rsidTr="00CF6359">
        <w:trPr>
          <w:jc w:val="right"/>
        </w:trPr>
        <w:tc>
          <w:tcPr>
            <w:tcW w:w="1215" w:type="dxa"/>
          </w:tcPr>
          <w:p w:rsidR="00076E84" w:rsidRDefault="00076E84" w:rsidP="00CF6359">
            <w:r>
              <w:t>16422901</w:t>
            </w:r>
          </w:p>
        </w:tc>
        <w:tc>
          <w:tcPr>
            <w:tcW w:w="3774" w:type="dxa"/>
          </w:tcPr>
          <w:p w:rsidR="00076E84" w:rsidRDefault="00076E84" w:rsidP="00CF6359">
            <w:r>
              <w:t>- stare kioske</w:t>
            </w:r>
          </w:p>
        </w:tc>
        <w:tc>
          <w:tcPr>
            <w:tcW w:w="1338" w:type="dxa"/>
            <w:vAlign w:val="center"/>
          </w:tcPr>
          <w:p w:rsidR="00076E84" w:rsidRPr="00CF728D" w:rsidRDefault="00076E84" w:rsidP="00CF6359">
            <w:pPr>
              <w:jc w:val="right"/>
            </w:pPr>
            <w:r w:rsidRPr="00CF728D">
              <w:t>56.127</w:t>
            </w:r>
          </w:p>
        </w:tc>
        <w:tc>
          <w:tcPr>
            <w:tcW w:w="1338" w:type="dxa"/>
            <w:vAlign w:val="center"/>
          </w:tcPr>
          <w:p w:rsidR="00076E84" w:rsidRDefault="00076E84" w:rsidP="00CF6359">
            <w:pPr>
              <w:jc w:val="right"/>
            </w:pPr>
            <w:r>
              <w:t>53.499</w:t>
            </w:r>
          </w:p>
        </w:tc>
        <w:tc>
          <w:tcPr>
            <w:tcW w:w="1408" w:type="dxa"/>
            <w:vAlign w:val="center"/>
          </w:tcPr>
          <w:p w:rsidR="00076E84" w:rsidRDefault="00076E84" w:rsidP="00CF6359">
            <w:pPr>
              <w:jc w:val="right"/>
            </w:pPr>
            <w:r>
              <w:t>-2.628</w:t>
            </w:r>
          </w:p>
        </w:tc>
      </w:tr>
      <w:tr w:rsidR="00076E84" w:rsidTr="00CF6359">
        <w:trPr>
          <w:jc w:val="right"/>
        </w:trPr>
        <w:tc>
          <w:tcPr>
            <w:tcW w:w="1215" w:type="dxa"/>
          </w:tcPr>
          <w:p w:rsidR="00076E84" w:rsidRDefault="00076E84" w:rsidP="00CF6359">
            <w:r>
              <w:t>16422902</w:t>
            </w:r>
          </w:p>
        </w:tc>
        <w:tc>
          <w:tcPr>
            <w:tcW w:w="3774" w:type="dxa"/>
          </w:tcPr>
          <w:p w:rsidR="00076E84" w:rsidRDefault="00076E84" w:rsidP="00CF6359">
            <w:r>
              <w:t>- nove kioske</w:t>
            </w:r>
          </w:p>
        </w:tc>
        <w:tc>
          <w:tcPr>
            <w:tcW w:w="1338" w:type="dxa"/>
            <w:vAlign w:val="center"/>
          </w:tcPr>
          <w:p w:rsidR="00076E84" w:rsidRPr="00CF728D" w:rsidRDefault="00076E84" w:rsidP="00CF6359">
            <w:pPr>
              <w:jc w:val="right"/>
            </w:pPr>
            <w:r w:rsidRPr="00CF728D">
              <w:t>601.125</w:t>
            </w:r>
          </w:p>
        </w:tc>
        <w:tc>
          <w:tcPr>
            <w:tcW w:w="1338" w:type="dxa"/>
            <w:vAlign w:val="center"/>
          </w:tcPr>
          <w:p w:rsidR="00076E84" w:rsidRDefault="00076E84" w:rsidP="00CF6359">
            <w:pPr>
              <w:jc w:val="right"/>
            </w:pPr>
            <w:r>
              <w:t>496.903</w:t>
            </w:r>
          </w:p>
        </w:tc>
        <w:tc>
          <w:tcPr>
            <w:tcW w:w="1408" w:type="dxa"/>
            <w:vAlign w:val="center"/>
          </w:tcPr>
          <w:p w:rsidR="00076E84" w:rsidRDefault="00076E84" w:rsidP="00CF6359">
            <w:pPr>
              <w:jc w:val="right"/>
            </w:pPr>
            <w:r>
              <w:t>-104.222</w:t>
            </w:r>
          </w:p>
        </w:tc>
      </w:tr>
      <w:tr w:rsidR="00076E84" w:rsidTr="00CF6359">
        <w:trPr>
          <w:jc w:val="right"/>
        </w:trPr>
        <w:tc>
          <w:tcPr>
            <w:tcW w:w="1215" w:type="dxa"/>
          </w:tcPr>
          <w:p w:rsidR="00076E84" w:rsidRDefault="00076E84" w:rsidP="00CF6359">
            <w:r>
              <w:t>16422903</w:t>
            </w:r>
          </w:p>
        </w:tc>
        <w:tc>
          <w:tcPr>
            <w:tcW w:w="3774" w:type="dxa"/>
          </w:tcPr>
          <w:p w:rsidR="00076E84" w:rsidRDefault="00076E84" w:rsidP="00CF6359">
            <w:r>
              <w:t>- pokretne naprave</w:t>
            </w:r>
          </w:p>
        </w:tc>
        <w:tc>
          <w:tcPr>
            <w:tcW w:w="1338" w:type="dxa"/>
            <w:vAlign w:val="center"/>
          </w:tcPr>
          <w:p w:rsidR="00076E84" w:rsidRPr="00CF728D" w:rsidRDefault="00076E84" w:rsidP="00CF6359">
            <w:pPr>
              <w:jc w:val="right"/>
            </w:pPr>
            <w:r w:rsidRPr="00CF728D">
              <w:t>213.065</w:t>
            </w:r>
          </w:p>
        </w:tc>
        <w:tc>
          <w:tcPr>
            <w:tcW w:w="1338" w:type="dxa"/>
            <w:vAlign w:val="center"/>
          </w:tcPr>
          <w:p w:rsidR="00076E84" w:rsidRDefault="00076E84" w:rsidP="00CF6359">
            <w:pPr>
              <w:jc w:val="right"/>
            </w:pPr>
            <w:r>
              <w:t>93.476</w:t>
            </w:r>
          </w:p>
        </w:tc>
        <w:tc>
          <w:tcPr>
            <w:tcW w:w="1408" w:type="dxa"/>
            <w:vAlign w:val="center"/>
          </w:tcPr>
          <w:p w:rsidR="00076E84" w:rsidRDefault="00076E84" w:rsidP="00CF6359">
            <w:pPr>
              <w:jc w:val="right"/>
            </w:pPr>
            <w:r>
              <w:t>-119.589</w:t>
            </w:r>
          </w:p>
        </w:tc>
      </w:tr>
      <w:tr w:rsidR="00076E84" w:rsidTr="00CF6359">
        <w:trPr>
          <w:jc w:val="right"/>
        </w:trPr>
        <w:tc>
          <w:tcPr>
            <w:tcW w:w="1215" w:type="dxa"/>
          </w:tcPr>
          <w:p w:rsidR="00076E84" w:rsidRDefault="00076E84" w:rsidP="00CF6359">
            <w:r>
              <w:t>16422904</w:t>
            </w:r>
          </w:p>
        </w:tc>
        <w:tc>
          <w:tcPr>
            <w:tcW w:w="3774" w:type="dxa"/>
          </w:tcPr>
          <w:p w:rsidR="00076E84" w:rsidRDefault="00076E84" w:rsidP="00CF6359">
            <w:r>
              <w:t>- kiosk (poduzeća)</w:t>
            </w:r>
          </w:p>
        </w:tc>
        <w:tc>
          <w:tcPr>
            <w:tcW w:w="1338" w:type="dxa"/>
            <w:vAlign w:val="center"/>
          </w:tcPr>
          <w:p w:rsidR="00076E84" w:rsidRPr="00CF728D" w:rsidRDefault="00076E84" w:rsidP="00CF6359">
            <w:pPr>
              <w:jc w:val="right"/>
            </w:pPr>
            <w:r w:rsidRPr="00CF728D">
              <w:t>437</w:t>
            </w:r>
          </w:p>
        </w:tc>
        <w:tc>
          <w:tcPr>
            <w:tcW w:w="1338" w:type="dxa"/>
            <w:vAlign w:val="center"/>
          </w:tcPr>
          <w:p w:rsidR="00076E84" w:rsidRDefault="00076E84" w:rsidP="00CF6359">
            <w:pPr>
              <w:jc w:val="right"/>
            </w:pPr>
            <w:r>
              <w:t>437</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r>
              <w:t>16422905</w:t>
            </w:r>
          </w:p>
        </w:tc>
        <w:tc>
          <w:tcPr>
            <w:tcW w:w="3774" w:type="dxa"/>
          </w:tcPr>
          <w:p w:rsidR="00076E84" w:rsidRDefault="00076E84" w:rsidP="00CF6359">
            <w:r>
              <w:t>- terase</w:t>
            </w:r>
          </w:p>
        </w:tc>
        <w:tc>
          <w:tcPr>
            <w:tcW w:w="1338" w:type="dxa"/>
            <w:vAlign w:val="center"/>
          </w:tcPr>
          <w:p w:rsidR="00076E84" w:rsidRPr="00CF728D" w:rsidRDefault="00076E84" w:rsidP="00CF6359">
            <w:pPr>
              <w:jc w:val="right"/>
            </w:pPr>
            <w:r w:rsidRPr="00CF728D">
              <w:t>4.492.807</w:t>
            </w:r>
          </w:p>
        </w:tc>
        <w:tc>
          <w:tcPr>
            <w:tcW w:w="1338" w:type="dxa"/>
            <w:vAlign w:val="center"/>
          </w:tcPr>
          <w:p w:rsidR="00076E84" w:rsidRDefault="00076E84" w:rsidP="00CF6359">
            <w:pPr>
              <w:jc w:val="right"/>
            </w:pPr>
            <w:r>
              <w:t>4.567.160</w:t>
            </w:r>
          </w:p>
        </w:tc>
        <w:tc>
          <w:tcPr>
            <w:tcW w:w="1408" w:type="dxa"/>
            <w:vAlign w:val="center"/>
          </w:tcPr>
          <w:p w:rsidR="00076E84" w:rsidRDefault="00076E84" w:rsidP="00CF6359">
            <w:pPr>
              <w:jc w:val="right"/>
            </w:pPr>
            <w:r>
              <w:t>74.353</w:t>
            </w:r>
          </w:p>
        </w:tc>
      </w:tr>
      <w:tr w:rsidR="00076E84" w:rsidTr="00CF6359">
        <w:trPr>
          <w:jc w:val="right"/>
        </w:trPr>
        <w:tc>
          <w:tcPr>
            <w:tcW w:w="1215" w:type="dxa"/>
          </w:tcPr>
          <w:p w:rsidR="00076E84" w:rsidRDefault="00076E84" w:rsidP="00CF6359">
            <w:r>
              <w:t>16422907</w:t>
            </w:r>
          </w:p>
        </w:tc>
        <w:tc>
          <w:tcPr>
            <w:tcW w:w="3774" w:type="dxa"/>
          </w:tcPr>
          <w:p w:rsidR="00076E84" w:rsidRDefault="00076E84" w:rsidP="00CF6359">
            <w:r>
              <w:t>- reklamne objekte</w:t>
            </w:r>
          </w:p>
        </w:tc>
        <w:tc>
          <w:tcPr>
            <w:tcW w:w="1338" w:type="dxa"/>
            <w:vAlign w:val="center"/>
          </w:tcPr>
          <w:p w:rsidR="00076E84" w:rsidRPr="00CF728D" w:rsidRDefault="00076E84" w:rsidP="00CF6359">
            <w:pPr>
              <w:jc w:val="right"/>
            </w:pPr>
            <w:r w:rsidRPr="00CF728D">
              <w:t>85.702</w:t>
            </w:r>
          </w:p>
        </w:tc>
        <w:tc>
          <w:tcPr>
            <w:tcW w:w="1338" w:type="dxa"/>
            <w:vAlign w:val="center"/>
          </w:tcPr>
          <w:p w:rsidR="00076E84" w:rsidRDefault="00076E84" w:rsidP="00CF6359">
            <w:pPr>
              <w:jc w:val="right"/>
            </w:pPr>
            <w:r>
              <w:t>85.702</w:t>
            </w:r>
          </w:p>
        </w:tc>
        <w:tc>
          <w:tcPr>
            <w:tcW w:w="1408" w:type="dxa"/>
            <w:vAlign w:val="center"/>
          </w:tcPr>
          <w:p w:rsidR="00076E84" w:rsidRDefault="00076E84" w:rsidP="00CF6359">
            <w:pPr>
              <w:jc w:val="right"/>
            </w:pPr>
            <w:r>
              <w:t>0</w:t>
            </w:r>
          </w:p>
        </w:tc>
      </w:tr>
      <w:tr w:rsidR="00076E84" w:rsidTr="00CF6359">
        <w:trPr>
          <w:jc w:val="right"/>
        </w:trPr>
        <w:tc>
          <w:tcPr>
            <w:tcW w:w="1215" w:type="dxa"/>
          </w:tcPr>
          <w:p w:rsidR="00076E84" w:rsidRDefault="00076E84" w:rsidP="00CF6359">
            <w:r>
              <w:t>16422908</w:t>
            </w:r>
          </w:p>
        </w:tc>
        <w:tc>
          <w:tcPr>
            <w:tcW w:w="3774" w:type="dxa"/>
          </w:tcPr>
          <w:p w:rsidR="00076E84" w:rsidRDefault="00076E84" w:rsidP="00CF6359">
            <w:r>
              <w:t>- reklamne panoe</w:t>
            </w:r>
          </w:p>
        </w:tc>
        <w:tc>
          <w:tcPr>
            <w:tcW w:w="1338" w:type="dxa"/>
            <w:vAlign w:val="center"/>
          </w:tcPr>
          <w:p w:rsidR="00076E84" w:rsidRPr="00CF728D" w:rsidRDefault="00076E84" w:rsidP="00CF6359">
            <w:pPr>
              <w:jc w:val="right"/>
            </w:pPr>
            <w:r w:rsidRPr="00CF728D">
              <w:t>6.459.008</w:t>
            </w:r>
          </w:p>
        </w:tc>
        <w:tc>
          <w:tcPr>
            <w:tcW w:w="1338" w:type="dxa"/>
            <w:vAlign w:val="center"/>
          </w:tcPr>
          <w:p w:rsidR="00076E84" w:rsidRDefault="00076E84" w:rsidP="00CF6359">
            <w:pPr>
              <w:jc w:val="right"/>
            </w:pPr>
            <w:r>
              <w:t>9.094.966</w:t>
            </w:r>
          </w:p>
        </w:tc>
        <w:tc>
          <w:tcPr>
            <w:tcW w:w="1408" w:type="dxa"/>
            <w:vAlign w:val="center"/>
          </w:tcPr>
          <w:p w:rsidR="00076E84" w:rsidRDefault="00076E84" w:rsidP="00CF6359">
            <w:pPr>
              <w:jc w:val="right"/>
            </w:pPr>
            <w:r>
              <w:t>2.635.958</w:t>
            </w:r>
          </w:p>
        </w:tc>
      </w:tr>
      <w:tr w:rsidR="00076E84" w:rsidTr="00CF6359">
        <w:trPr>
          <w:jc w:val="right"/>
        </w:trPr>
        <w:tc>
          <w:tcPr>
            <w:tcW w:w="1215" w:type="dxa"/>
          </w:tcPr>
          <w:p w:rsidR="00076E84" w:rsidRDefault="00076E84" w:rsidP="00CF6359">
            <w:r>
              <w:t>16422912</w:t>
            </w:r>
          </w:p>
        </w:tc>
        <w:tc>
          <w:tcPr>
            <w:tcW w:w="3774" w:type="dxa"/>
          </w:tcPr>
          <w:p w:rsidR="00076E84" w:rsidRDefault="00076E84" w:rsidP="00CF6359">
            <w:r>
              <w:t>- organizaciju gradilišta</w:t>
            </w:r>
          </w:p>
        </w:tc>
        <w:tc>
          <w:tcPr>
            <w:tcW w:w="1338" w:type="dxa"/>
            <w:vAlign w:val="center"/>
          </w:tcPr>
          <w:p w:rsidR="00076E84" w:rsidRPr="00CF728D" w:rsidRDefault="00076E84" w:rsidP="00CF6359">
            <w:pPr>
              <w:jc w:val="right"/>
            </w:pPr>
            <w:r w:rsidRPr="00CF728D">
              <w:t>1.784.102</w:t>
            </w:r>
          </w:p>
        </w:tc>
        <w:tc>
          <w:tcPr>
            <w:tcW w:w="1338" w:type="dxa"/>
            <w:vAlign w:val="center"/>
          </w:tcPr>
          <w:p w:rsidR="00076E84" w:rsidRDefault="00076E84" w:rsidP="00CF6359">
            <w:pPr>
              <w:jc w:val="right"/>
            </w:pPr>
            <w:r>
              <w:t>1.748.129</w:t>
            </w:r>
          </w:p>
        </w:tc>
        <w:tc>
          <w:tcPr>
            <w:tcW w:w="1408" w:type="dxa"/>
            <w:vAlign w:val="center"/>
          </w:tcPr>
          <w:p w:rsidR="00076E84" w:rsidRDefault="00076E84" w:rsidP="00CF6359">
            <w:pPr>
              <w:jc w:val="right"/>
            </w:pPr>
            <w:r>
              <w:t>-35.973</w:t>
            </w:r>
          </w:p>
        </w:tc>
      </w:tr>
      <w:tr w:rsidR="00076E84" w:rsidTr="00CF6359">
        <w:trPr>
          <w:jc w:val="right"/>
        </w:trPr>
        <w:tc>
          <w:tcPr>
            <w:tcW w:w="1215" w:type="dxa"/>
          </w:tcPr>
          <w:p w:rsidR="00076E84" w:rsidRDefault="00076E84" w:rsidP="00CF6359">
            <w:r>
              <w:t>16422916</w:t>
            </w:r>
          </w:p>
        </w:tc>
        <w:tc>
          <w:tcPr>
            <w:tcW w:w="3774" w:type="dxa"/>
          </w:tcPr>
          <w:p w:rsidR="00076E84" w:rsidRDefault="00076E84" w:rsidP="00CF6359">
            <w:r>
              <w:t>- parkirališna mjesta</w:t>
            </w:r>
          </w:p>
        </w:tc>
        <w:tc>
          <w:tcPr>
            <w:tcW w:w="1338" w:type="dxa"/>
            <w:vAlign w:val="center"/>
          </w:tcPr>
          <w:p w:rsidR="00076E84" w:rsidRPr="00CF728D" w:rsidRDefault="00076E84" w:rsidP="00CF6359">
            <w:pPr>
              <w:jc w:val="right"/>
            </w:pPr>
            <w:r w:rsidRPr="00CF728D">
              <w:t>336.121</w:t>
            </w:r>
          </w:p>
        </w:tc>
        <w:tc>
          <w:tcPr>
            <w:tcW w:w="1338" w:type="dxa"/>
            <w:vAlign w:val="center"/>
          </w:tcPr>
          <w:p w:rsidR="00076E84" w:rsidRDefault="00076E84" w:rsidP="00CF6359">
            <w:pPr>
              <w:jc w:val="right"/>
            </w:pPr>
            <w:r>
              <w:t>179.815</w:t>
            </w:r>
          </w:p>
        </w:tc>
        <w:tc>
          <w:tcPr>
            <w:tcW w:w="1408" w:type="dxa"/>
            <w:vAlign w:val="center"/>
          </w:tcPr>
          <w:p w:rsidR="00076E84" w:rsidRDefault="00076E84" w:rsidP="00CF6359">
            <w:pPr>
              <w:jc w:val="right"/>
            </w:pPr>
            <w:r>
              <w:t>-156.306</w:t>
            </w:r>
          </w:p>
        </w:tc>
      </w:tr>
      <w:tr w:rsidR="00076E84" w:rsidTr="00CF6359">
        <w:trPr>
          <w:jc w:val="right"/>
        </w:trPr>
        <w:tc>
          <w:tcPr>
            <w:tcW w:w="1215" w:type="dxa"/>
          </w:tcPr>
          <w:p w:rsidR="00076E84" w:rsidRDefault="00076E84" w:rsidP="00CF6359">
            <w:r>
              <w:t>16422920</w:t>
            </w:r>
          </w:p>
        </w:tc>
        <w:tc>
          <w:tcPr>
            <w:tcW w:w="3774" w:type="dxa"/>
          </w:tcPr>
          <w:p w:rsidR="00076E84" w:rsidRDefault="00076E84" w:rsidP="00CF6359">
            <w:r>
              <w:t xml:space="preserve">- neizgrađeno građevinsko zemljište </w:t>
            </w:r>
          </w:p>
        </w:tc>
        <w:tc>
          <w:tcPr>
            <w:tcW w:w="1338" w:type="dxa"/>
            <w:vAlign w:val="center"/>
          </w:tcPr>
          <w:p w:rsidR="00076E84" w:rsidRPr="00CF728D" w:rsidRDefault="00076E84" w:rsidP="00CF6359">
            <w:pPr>
              <w:jc w:val="right"/>
            </w:pPr>
            <w:r w:rsidRPr="00CF728D">
              <w:t>203.177</w:t>
            </w:r>
          </w:p>
        </w:tc>
        <w:tc>
          <w:tcPr>
            <w:tcW w:w="1338" w:type="dxa"/>
            <w:vAlign w:val="center"/>
          </w:tcPr>
          <w:p w:rsidR="00076E84" w:rsidRDefault="00076E84" w:rsidP="00CF6359">
            <w:pPr>
              <w:jc w:val="right"/>
            </w:pPr>
            <w:r>
              <w:t>142.310</w:t>
            </w:r>
          </w:p>
        </w:tc>
        <w:tc>
          <w:tcPr>
            <w:tcW w:w="1408" w:type="dxa"/>
            <w:vAlign w:val="center"/>
          </w:tcPr>
          <w:p w:rsidR="00076E84" w:rsidRDefault="00076E84" w:rsidP="00CF6359">
            <w:pPr>
              <w:jc w:val="right"/>
            </w:pPr>
            <w:r>
              <w:t>-60.867</w:t>
            </w:r>
          </w:p>
        </w:tc>
      </w:tr>
      <w:tr w:rsidR="00076E84" w:rsidTr="00CF6359">
        <w:trPr>
          <w:jc w:val="right"/>
        </w:trPr>
        <w:tc>
          <w:tcPr>
            <w:tcW w:w="1215" w:type="dxa"/>
          </w:tcPr>
          <w:p w:rsidR="00076E84" w:rsidRDefault="00076E84" w:rsidP="00CF6359">
            <w:r>
              <w:t>16422922</w:t>
            </w:r>
          </w:p>
        </w:tc>
        <w:tc>
          <w:tcPr>
            <w:tcW w:w="3774" w:type="dxa"/>
          </w:tcPr>
          <w:p w:rsidR="00076E84" w:rsidRDefault="00076E84" w:rsidP="00CF6359">
            <w:r>
              <w:t>- prometne poligone</w:t>
            </w:r>
          </w:p>
        </w:tc>
        <w:tc>
          <w:tcPr>
            <w:tcW w:w="1338" w:type="dxa"/>
            <w:vAlign w:val="center"/>
          </w:tcPr>
          <w:p w:rsidR="00076E84" w:rsidRPr="00CF728D" w:rsidRDefault="00076E84" w:rsidP="00CF6359">
            <w:pPr>
              <w:jc w:val="right"/>
            </w:pPr>
            <w:r w:rsidRPr="00CF728D">
              <w:t>9.146</w:t>
            </w:r>
          </w:p>
        </w:tc>
        <w:tc>
          <w:tcPr>
            <w:tcW w:w="1338" w:type="dxa"/>
            <w:vAlign w:val="center"/>
          </w:tcPr>
          <w:p w:rsidR="00076E84" w:rsidRDefault="00076E84" w:rsidP="00CF6359">
            <w:pPr>
              <w:jc w:val="right"/>
            </w:pPr>
            <w:r>
              <w:t>32.169</w:t>
            </w:r>
          </w:p>
        </w:tc>
        <w:tc>
          <w:tcPr>
            <w:tcW w:w="1408" w:type="dxa"/>
            <w:vAlign w:val="center"/>
          </w:tcPr>
          <w:p w:rsidR="00076E84" w:rsidRDefault="00076E84" w:rsidP="00CF6359">
            <w:pPr>
              <w:jc w:val="right"/>
            </w:pPr>
            <w:r>
              <w:t>23.023</w:t>
            </w:r>
          </w:p>
        </w:tc>
      </w:tr>
      <w:tr w:rsidR="00076E84" w:rsidTr="00CF6359">
        <w:trPr>
          <w:jc w:val="right"/>
        </w:trPr>
        <w:tc>
          <w:tcPr>
            <w:tcW w:w="1215" w:type="dxa"/>
          </w:tcPr>
          <w:p w:rsidR="00076E84" w:rsidRDefault="00076E84" w:rsidP="00CF6359">
            <w:r>
              <w:lastRenderedPageBreak/>
              <w:t>16422923</w:t>
            </w:r>
          </w:p>
        </w:tc>
        <w:tc>
          <w:tcPr>
            <w:tcW w:w="3774" w:type="dxa"/>
          </w:tcPr>
          <w:p w:rsidR="00076E84" w:rsidRDefault="00076E84" w:rsidP="00CF6359">
            <w:r>
              <w:t>- neizgrađeno građevinsko zemljište 7811-230</w:t>
            </w:r>
          </w:p>
        </w:tc>
        <w:tc>
          <w:tcPr>
            <w:tcW w:w="1338" w:type="dxa"/>
            <w:vAlign w:val="center"/>
          </w:tcPr>
          <w:p w:rsidR="00076E84" w:rsidRPr="00CF728D" w:rsidRDefault="00076E84" w:rsidP="00CF6359">
            <w:pPr>
              <w:jc w:val="right"/>
            </w:pPr>
            <w:r w:rsidRPr="00CF728D">
              <w:t>2.630.108</w:t>
            </w:r>
          </w:p>
        </w:tc>
        <w:tc>
          <w:tcPr>
            <w:tcW w:w="1338" w:type="dxa"/>
            <w:vAlign w:val="center"/>
          </w:tcPr>
          <w:p w:rsidR="00076E84" w:rsidRDefault="00076E84" w:rsidP="00CF6359">
            <w:pPr>
              <w:jc w:val="right"/>
            </w:pPr>
            <w:r>
              <w:t>3.393.668</w:t>
            </w:r>
          </w:p>
        </w:tc>
        <w:tc>
          <w:tcPr>
            <w:tcW w:w="1408" w:type="dxa"/>
            <w:vAlign w:val="center"/>
          </w:tcPr>
          <w:p w:rsidR="00076E84" w:rsidRDefault="00076E84" w:rsidP="00CF6359">
            <w:pPr>
              <w:jc w:val="right"/>
            </w:pPr>
            <w:r>
              <w:t>763.560</w:t>
            </w:r>
          </w:p>
        </w:tc>
      </w:tr>
      <w:tr w:rsidR="00076E84" w:rsidTr="00CF6359">
        <w:trPr>
          <w:jc w:val="right"/>
        </w:trPr>
        <w:tc>
          <w:tcPr>
            <w:tcW w:w="1215" w:type="dxa"/>
          </w:tcPr>
          <w:p w:rsidR="00076E84" w:rsidRDefault="00076E84" w:rsidP="00CF6359">
            <w:r>
              <w:t>16422926</w:t>
            </w:r>
          </w:p>
        </w:tc>
        <w:tc>
          <w:tcPr>
            <w:tcW w:w="3774" w:type="dxa"/>
          </w:tcPr>
          <w:p w:rsidR="00076E84" w:rsidRDefault="00076E84" w:rsidP="00CF6359">
            <w:r>
              <w:t>- bankomati na poslovnim prostorima</w:t>
            </w:r>
          </w:p>
        </w:tc>
        <w:tc>
          <w:tcPr>
            <w:tcW w:w="1338" w:type="dxa"/>
            <w:vAlign w:val="center"/>
          </w:tcPr>
          <w:p w:rsidR="00076E84" w:rsidRPr="00CF728D" w:rsidRDefault="00076E84" w:rsidP="00CF6359">
            <w:pPr>
              <w:jc w:val="right"/>
            </w:pPr>
            <w:r w:rsidRPr="00CF728D">
              <w:t>3.000</w:t>
            </w:r>
          </w:p>
        </w:tc>
        <w:tc>
          <w:tcPr>
            <w:tcW w:w="1338" w:type="dxa"/>
            <w:vAlign w:val="center"/>
          </w:tcPr>
          <w:p w:rsidR="00076E84" w:rsidRDefault="00076E84" w:rsidP="00CF6359">
            <w:pPr>
              <w:jc w:val="right"/>
            </w:pPr>
            <w:r>
              <w:t>3.875</w:t>
            </w:r>
          </w:p>
        </w:tc>
        <w:tc>
          <w:tcPr>
            <w:tcW w:w="1408" w:type="dxa"/>
            <w:vAlign w:val="center"/>
          </w:tcPr>
          <w:p w:rsidR="00076E84" w:rsidRDefault="00076E84" w:rsidP="00CF6359">
            <w:pPr>
              <w:jc w:val="right"/>
            </w:pPr>
            <w:r>
              <w:t>875</w:t>
            </w:r>
          </w:p>
        </w:tc>
      </w:tr>
      <w:tr w:rsidR="00076E84" w:rsidTr="00CF6359">
        <w:trPr>
          <w:jc w:val="right"/>
        </w:trPr>
        <w:tc>
          <w:tcPr>
            <w:tcW w:w="1215" w:type="dxa"/>
          </w:tcPr>
          <w:p w:rsidR="00076E84" w:rsidRDefault="00076E84" w:rsidP="00CF6359">
            <w:r>
              <w:t>16423000</w:t>
            </w:r>
          </w:p>
        </w:tc>
        <w:tc>
          <w:tcPr>
            <w:tcW w:w="3774" w:type="dxa"/>
          </w:tcPr>
          <w:p w:rsidR="00076E84" w:rsidRDefault="00076E84" w:rsidP="00CF6359">
            <w:r>
              <w:t>Tržnica Gorica</w:t>
            </w:r>
          </w:p>
        </w:tc>
        <w:tc>
          <w:tcPr>
            <w:tcW w:w="1338" w:type="dxa"/>
            <w:vAlign w:val="center"/>
          </w:tcPr>
          <w:p w:rsidR="00076E84" w:rsidRPr="00CF728D" w:rsidRDefault="00076E84" w:rsidP="00CF6359">
            <w:pPr>
              <w:jc w:val="right"/>
            </w:pPr>
            <w:r w:rsidRPr="00CF728D">
              <w:t>1.556.888</w:t>
            </w:r>
          </w:p>
        </w:tc>
        <w:tc>
          <w:tcPr>
            <w:tcW w:w="1338" w:type="dxa"/>
            <w:vAlign w:val="center"/>
          </w:tcPr>
          <w:p w:rsidR="00076E84" w:rsidRDefault="00076E84" w:rsidP="00CF6359">
            <w:pPr>
              <w:jc w:val="right"/>
            </w:pPr>
            <w:r>
              <w:t>1.444.687</w:t>
            </w:r>
          </w:p>
        </w:tc>
        <w:tc>
          <w:tcPr>
            <w:tcW w:w="1408" w:type="dxa"/>
            <w:vAlign w:val="center"/>
          </w:tcPr>
          <w:p w:rsidR="00076E84" w:rsidRDefault="00076E84" w:rsidP="00CF6359">
            <w:pPr>
              <w:jc w:val="right"/>
            </w:pPr>
            <w:r>
              <w:t>-112.201</w:t>
            </w:r>
          </w:p>
        </w:tc>
      </w:tr>
      <w:tr w:rsidR="00076E84" w:rsidTr="00CF6359">
        <w:trPr>
          <w:jc w:val="right"/>
        </w:trPr>
        <w:tc>
          <w:tcPr>
            <w:tcW w:w="1215" w:type="dxa"/>
          </w:tcPr>
          <w:p w:rsidR="00076E84" w:rsidRDefault="00076E84" w:rsidP="00CF6359">
            <w:r>
              <w:t>16423300</w:t>
            </w:r>
          </w:p>
        </w:tc>
        <w:tc>
          <w:tcPr>
            <w:tcW w:w="3774" w:type="dxa"/>
          </w:tcPr>
          <w:p w:rsidR="00076E84" w:rsidRDefault="00076E84" w:rsidP="00CF6359">
            <w:r>
              <w:t>Naknada za korištenje prostora elektrana</w:t>
            </w:r>
          </w:p>
        </w:tc>
        <w:tc>
          <w:tcPr>
            <w:tcW w:w="1338" w:type="dxa"/>
            <w:vAlign w:val="center"/>
          </w:tcPr>
          <w:p w:rsidR="00076E84" w:rsidRPr="00CF728D" w:rsidRDefault="00076E84" w:rsidP="00CF6359">
            <w:pPr>
              <w:jc w:val="right"/>
            </w:pPr>
            <w:r w:rsidRPr="00CF728D">
              <w:t>1.242.885</w:t>
            </w:r>
          </w:p>
        </w:tc>
        <w:tc>
          <w:tcPr>
            <w:tcW w:w="1338" w:type="dxa"/>
            <w:vAlign w:val="center"/>
          </w:tcPr>
          <w:p w:rsidR="00076E84" w:rsidRDefault="00076E84" w:rsidP="00CF6359">
            <w:pPr>
              <w:jc w:val="right"/>
            </w:pPr>
            <w:r>
              <w:t>1.198.506</w:t>
            </w:r>
          </w:p>
        </w:tc>
        <w:tc>
          <w:tcPr>
            <w:tcW w:w="1408" w:type="dxa"/>
            <w:vAlign w:val="center"/>
          </w:tcPr>
          <w:p w:rsidR="00076E84" w:rsidRDefault="00076E84" w:rsidP="00CF6359">
            <w:pPr>
              <w:jc w:val="right"/>
            </w:pPr>
            <w:r>
              <w:t>-44.379</w:t>
            </w:r>
          </w:p>
        </w:tc>
      </w:tr>
      <w:tr w:rsidR="00076E84" w:rsidTr="00CF6359">
        <w:trPr>
          <w:jc w:val="right"/>
        </w:trPr>
        <w:tc>
          <w:tcPr>
            <w:tcW w:w="1215" w:type="dxa"/>
          </w:tcPr>
          <w:p w:rsidR="00076E84" w:rsidRDefault="00076E84" w:rsidP="00CF6359">
            <w:r>
              <w:t>16423400</w:t>
            </w:r>
          </w:p>
        </w:tc>
        <w:tc>
          <w:tcPr>
            <w:tcW w:w="3774" w:type="dxa"/>
          </w:tcPr>
          <w:p w:rsidR="00076E84" w:rsidRDefault="00076E84" w:rsidP="00CF6359">
            <w:r>
              <w:t>Lovozakupnine</w:t>
            </w:r>
          </w:p>
        </w:tc>
        <w:tc>
          <w:tcPr>
            <w:tcW w:w="1338" w:type="dxa"/>
            <w:vAlign w:val="center"/>
          </w:tcPr>
          <w:p w:rsidR="00076E84" w:rsidRPr="00CF728D" w:rsidRDefault="00076E84" w:rsidP="00CF6359">
            <w:pPr>
              <w:jc w:val="right"/>
            </w:pPr>
            <w:r w:rsidRPr="00CF728D">
              <w:t>22.830</w:t>
            </w:r>
          </w:p>
        </w:tc>
        <w:tc>
          <w:tcPr>
            <w:tcW w:w="1338" w:type="dxa"/>
            <w:vAlign w:val="center"/>
          </w:tcPr>
          <w:p w:rsidR="00076E84" w:rsidRDefault="00076E84" w:rsidP="00CF6359">
            <w:pPr>
              <w:jc w:val="right"/>
            </w:pPr>
            <w:r>
              <w:t>0</w:t>
            </w:r>
          </w:p>
        </w:tc>
        <w:tc>
          <w:tcPr>
            <w:tcW w:w="1408" w:type="dxa"/>
            <w:vAlign w:val="center"/>
          </w:tcPr>
          <w:p w:rsidR="00076E84" w:rsidRDefault="00076E84" w:rsidP="00CF6359">
            <w:pPr>
              <w:jc w:val="right"/>
            </w:pPr>
            <w:r>
              <w:t>-22.830</w:t>
            </w:r>
          </w:p>
        </w:tc>
      </w:tr>
      <w:tr w:rsidR="00076E84" w:rsidTr="00CF6359">
        <w:trPr>
          <w:jc w:val="right"/>
        </w:trPr>
        <w:tc>
          <w:tcPr>
            <w:tcW w:w="1215" w:type="dxa"/>
          </w:tcPr>
          <w:p w:rsidR="00076E84" w:rsidRDefault="00076E84" w:rsidP="00CF6359">
            <w:r>
              <w:t>16423600</w:t>
            </w:r>
          </w:p>
        </w:tc>
        <w:tc>
          <w:tcPr>
            <w:tcW w:w="3774" w:type="dxa"/>
          </w:tcPr>
          <w:p w:rsidR="00076E84" w:rsidRDefault="00076E84" w:rsidP="00CF6359">
            <w:r>
              <w:t>Prihod od spomeničke rente po metru četvornom</w:t>
            </w:r>
          </w:p>
        </w:tc>
        <w:tc>
          <w:tcPr>
            <w:tcW w:w="1338" w:type="dxa"/>
            <w:vAlign w:val="center"/>
          </w:tcPr>
          <w:p w:rsidR="00076E84" w:rsidRPr="00CF728D" w:rsidRDefault="00076E84" w:rsidP="00CF6359">
            <w:pPr>
              <w:jc w:val="right"/>
            </w:pPr>
            <w:r w:rsidRPr="00CF728D">
              <w:t>494.996</w:t>
            </w:r>
          </w:p>
        </w:tc>
        <w:tc>
          <w:tcPr>
            <w:tcW w:w="1338" w:type="dxa"/>
            <w:vAlign w:val="center"/>
          </w:tcPr>
          <w:p w:rsidR="00076E84" w:rsidRDefault="00076E84" w:rsidP="00CF6359">
            <w:pPr>
              <w:jc w:val="right"/>
            </w:pPr>
            <w:r>
              <w:t>878.281</w:t>
            </w:r>
          </w:p>
        </w:tc>
        <w:tc>
          <w:tcPr>
            <w:tcW w:w="1408" w:type="dxa"/>
            <w:vAlign w:val="center"/>
          </w:tcPr>
          <w:p w:rsidR="00076E84" w:rsidRDefault="00076E84" w:rsidP="00CF6359">
            <w:pPr>
              <w:jc w:val="right"/>
            </w:pPr>
            <w:r>
              <w:t>383.285</w:t>
            </w:r>
          </w:p>
        </w:tc>
      </w:tr>
      <w:tr w:rsidR="00076E84" w:rsidTr="00CF6359">
        <w:trPr>
          <w:jc w:val="right"/>
        </w:trPr>
        <w:tc>
          <w:tcPr>
            <w:tcW w:w="1215" w:type="dxa"/>
          </w:tcPr>
          <w:p w:rsidR="00076E84" w:rsidRDefault="00076E84" w:rsidP="00CF6359">
            <w:r>
              <w:t>16423900</w:t>
            </w:r>
          </w:p>
        </w:tc>
        <w:tc>
          <w:tcPr>
            <w:tcW w:w="3774" w:type="dxa"/>
          </w:tcPr>
          <w:p w:rsidR="00076E84" w:rsidRDefault="00076E84" w:rsidP="00CF6359">
            <w:r>
              <w:t>Naknada za promjenu namjene poljoprivrednog zemljišta u građevinsko zemljište</w:t>
            </w:r>
          </w:p>
        </w:tc>
        <w:tc>
          <w:tcPr>
            <w:tcW w:w="1338" w:type="dxa"/>
            <w:vAlign w:val="center"/>
          </w:tcPr>
          <w:p w:rsidR="00076E84" w:rsidRPr="00CF728D" w:rsidRDefault="00076E84" w:rsidP="00CF6359">
            <w:pPr>
              <w:jc w:val="right"/>
            </w:pPr>
            <w:r w:rsidRPr="00CF728D">
              <w:t>777.830</w:t>
            </w:r>
          </w:p>
        </w:tc>
        <w:tc>
          <w:tcPr>
            <w:tcW w:w="1338" w:type="dxa"/>
            <w:vAlign w:val="center"/>
          </w:tcPr>
          <w:p w:rsidR="00076E84" w:rsidRDefault="00076E84" w:rsidP="00CF6359">
            <w:pPr>
              <w:jc w:val="right"/>
            </w:pPr>
            <w:r>
              <w:t>2.886.503</w:t>
            </w:r>
          </w:p>
        </w:tc>
        <w:tc>
          <w:tcPr>
            <w:tcW w:w="1408" w:type="dxa"/>
            <w:vAlign w:val="center"/>
          </w:tcPr>
          <w:p w:rsidR="00076E84" w:rsidRDefault="00076E84" w:rsidP="00CF6359">
            <w:pPr>
              <w:jc w:val="right"/>
            </w:pPr>
            <w:r>
              <w:t>2.108.673</w:t>
            </w:r>
          </w:p>
        </w:tc>
      </w:tr>
      <w:tr w:rsidR="00076E84" w:rsidTr="00CF6359">
        <w:trPr>
          <w:jc w:val="right"/>
        </w:trPr>
        <w:tc>
          <w:tcPr>
            <w:tcW w:w="1215" w:type="dxa"/>
          </w:tcPr>
          <w:p w:rsidR="00076E84" w:rsidRDefault="00076E84" w:rsidP="00CF6359">
            <w:r>
              <w:t>16424300</w:t>
            </w:r>
          </w:p>
        </w:tc>
        <w:tc>
          <w:tcPr>
            <w:tcW w:w="3774" w:type="dxa"/>
          </w:tcPr>
          <w:p w:rsidR="00076E84" w:rsidRDefault="00076E84" w:rsidP="00CF6359">
            <w:r>
              <w:t>Naknada za izvanredni prijevoz</w:t>
            </w:r>
          </w:p>
        </w:tc>
        <w:tc>
          <w:tcPr>
            <w:tcW w:w="1338" w:type="dxa"/>
            <w:vAlign w:val="center"/>
          </w:tcPr>
          <w:p w:rsidR="00076E84" w:rsidRPr="00CF728D" w:rsidRDefault="00076E84" w:rsidP="00CF6359">
            <w:pPr>
              <w:jc w:val="right"/>
            </w:pPr>
            <w:r w:rsidRPr="00CF728D">
              <w:t>6.954</w:t>
            </w:r>
          </w:p>
        </w:tc>
        <w:tc>
          <w:tcPr>
            <w:tcW w:w="1338" w:type="dxa"/>
            <w:vAlign w:val="center"/>
          </w:tcPr>
          <w:p w:rsidR="00076E84" w:rsidRDefault="00076E84" w:rsidP="00CF6359">
            <w:pPr>
              <w:jc w:val="right"/>
            </w:pPr>
            <w:r>
              <w:t>23.792</w:t>
            </w:r>
          </w:p>
        </w:tc>
        <w:tc>
          <w:tcPr>
            <w:tcW w:w="1408" w:type="dxa"/>
            <w:vAlign w:val="center"/>
          </w:tcPr>
          <w:p w:rsidR="00076E84" w:rsidRDefault="00076E84" w:rsidP="00CF6359">
            <w:pPr>
              <w:jc w:val="right"/>
            </w:pPr>
            <w:r>
              <w:t>16.838</w:t>
            </w:r>
          </w:p>
        </w:tc>
      </w:tr>
      <w:tr w:rsidR="00076E84" w:rsidTr="00CF6359">
        <w:trPr>
          <w:jc w:val="right"/>
        </w:trPr>
        <w:tc>
          <w:tcPr>
            <w:tcW w:w="1215" w:type="dxa"/>
          </w:tcPr>
          <w:p w:rsidR="00076E84" w:rsidRDefault="00076E84" w:rsidP="00CF6359">
            <w:r>
              <w:t>16424700</w:t>
            </w:r>
          </w:p>
        </w:tc>
        <w:tc>
          <w:tcPr>
            <w:tcW w:w="3774" w:type="dxa"/>
          </w:tcPr>
          <w:p w:rsidR="00076E84" w:rsidRDefault="00076E84" w:rsidP="00CF6359">
            <w:r>
              <w:t>Naknada za prekomjernu uporabu javne ceste</w:t>
            </w:r>
          </w:p>
        </w:tc>
        <w:tc>
          <w:tcPr>
            <w:tcW w:w="1338" w:type="dxa"/>
            <w:vAlign w:val="center"/>
          </w:tcPr>
          <w:p w:rsidR="00076E84" w:rsidRPr="00CF728D" w:rsidRDefault="00076E84" w:rsidP="00CF6359">
            <w:pPr>
              <w:jc w:val="right"/>
            </w:pPr>
            <w:r w:rsidRPr="00CF728D">
              <w:t>120.495</w:t>
            </w:r>
          </w:p>
        </w:tc>
        <w:tc>
          <w:tcPr>
            <w:tcW w:w="1338" w:type="dxa"/>
            <w:vAlign w:val="center"/>
          </w:tcPr>
          <w:p w:rsidR="00076E84" w:rsidRDefault="00076E84" w:rsidP="00CF6359">
            <w:pPr>
              <w:jc w:val="right"/>
            </w:pPr>
            <w:r>
              <w:t>161.738</w:t>
            </w:r>
          </w:p>
        </w:tc>
        <w:tc>
          <w:tcPr>
            <w:tcW w:w="1408" w:type="dxa"/>
            <w:vAlign w:val="center"/>
          </w:tcPr>
          <w:p w:rsidR="00076E84" w:rsidRDefault="00076E84" w:rsidP="00CF6359">
            <w:pPr>
              <w:jc w:val="right"/>
            </w:pPr>
            <w:r>
              <w:t>41.243</w:t>
            </w:r>
          </w:p>
        </w:tc>
      </w:tr>
      <w:tr w:rsidR="00076E84" w:rsidTr="00CF6359">
        <w:trPr>
          <w:jc w:val="right"/>
        </w:trPr>
        <w:tc>
          <w:tcPr>
            <w:tcW w:w="1215" w:type="dxa"/>
          </w:tcPr>
          <w:p w:rsidR="00076E84" w:rsidRDefault="00076E84" w:rsidP="00CF6359">
            <w:r>
              <w:t>16429900</w:t>
            </w:r>
          </w:p>
        </w:tc>
        <w:tc>
          <w:tcPr>
            <w:tcW w:w="3774" w:type="dxa"/>
          </w:tcPr>
          <w:p w:rsidR="00076E84" w:rsidRDefault="00076E84" w:rsidP="00CF6359">
            <w:r>
              <w:t>Naknada za zadržavanje nezakonito izgrađene zgrade</w:t>
            </w:r>
          </w:p>
        </w:tc>
        <w:tc>
          <w:tcPr>
            <w:tcW w:w="1338" w:type="dxa"/>
            <w:vAlign w:val="center"/>
          </w:tcPr>
          <w:p w:rsidR="00076E84" w:rsidRPr="00CF728D" w:rsidRDefault="00076E84" w:rsidP="00CF6359">
            <w:pPr>
              <w:jc w:val="right"/>
            </w:pPr>
            <w:r w:rsidRPr="00CF728D">
              <w:t>26.190.624</w:t>
            </w:r>
          </w:p>
        </w:tc>
        <w:tc>
          <w:tcPr>
            <w:tcW w:w="1338" w:type="dxa"/>
            <w:vAlign w:val="center"/>
          </w:tcPr>
          <w:p w:rsidR="00076E84" w:rsidRDefault="00076E84" w:rsidP="00CF6359">
            <w:pPr>
              <w:jc w:val="right"/>
            </w:pPr>
            <w:r>
              <w:t>20.819.657</w:t>
            </w:r>
          </w:p>
        </w:tc>
        <w:tc>
          <w:tcPr>
            <w:tcW w:w="1408" w:type="dxa"/>
            <w:vAlign w:val="center"/>
          </w:tcPr>
          <w:p w:rsidR="00076E84" w:rsidRDefault="00076E84" w:rsidP="00CF6359">
            <w:pPr>
              <w:jc w:val="right"/>
            </w:pPr>
            <w:r>
              <w:t>-5.370.967</w:t>
            </w:r>
          </w:p>
        </w:tc>
      </w:tr>
      <w:tr w:rsidR="00076E84" w:rsidTr="00CF6359">
        <w:trPr>
          <w:trHeight w:val="361"/>
          <w:jc w:val="right"/>
        </w:trPr>
        <w:tc>
          <w:tcPr>
            <w:tcW w:w="1215" w:type="dxa"/>
          </w:tcPr>
          <w:p w:rsidR="00076E84" w:rsidRDefault="00076E84" w:rsidP="00CF6359">
            <w:r>
              <w:t>16432036</w:t>
            </w:r>
          </w:p>
        </w:tc>
        <w:tc>
          <w:tcPr>
            <w:tcW w:w="3774" w:type="dxa"/>
          </w:tcPr>
          <w:p w:rsidR="00076E84" w:rsidRDefault="00076E84" w:rsidP="00CF6359">
            <w:r>
              <w:t xml:space="preserve">Kamate za dane zajmove – stambeni kredit </w:t>
            </w:r>
          </w:p>
        </w:tc>
        <w:tc>
          <w:tcPr>
            <w:tcW w:w="1338" w:type="dxa"/>
            <w:vAlign w:val="center"/>
          </w:tcPr>
          <w:p w:rsidR="00076E84" w:rsidRPr="00CF728D" w:rsidRDefault="00076E84" w:rsidP="00CF6359">
            <w:pPr>
              <w:jc w:val="right"/>
            </w:pPr>
            <w:r w:rsidRPr="00CF728D">
              <w:t>27.398</w:t>
            </w:r>
          </w:p>
        </w:tc>
        <w:tc>
          <w:tcPr>
            <w:tcW w:w="1338" w:type="dxa"/>
            <w:vAlign w:val="center"/>
          </w:tcPr>
          <w:p w:rsidR="00076E84" w:rsidRDefault="00076E84" w:rsidP="00CF6359">
            <w:pPr>
              <w:jc w:val="right"/>
            </w:pPr>
            <w:r>
              <w:t>1.829</w:t>
            </w:r>
          </w:p>
        </w:tc>
        <w:tc>
          <w:tcPr>
            <w:tcW w:w="1408" w:type="dxa"/>
            <w:vAlign w:val="center"/>
          </w:tcPr>
          <w:p w:rsidR="00076E84" w:rsidRDefault="00076E84" w:rsidP="00CF6359">
            <w:pPr>
              <w:jc w:val="right"/>
            </w:pPr>
            <w:r>
              <w:t>-25.569</w:t>
            </w:r>
          </w:p>
        </w:tc>
      </w:tr>
      <w:tr w:rsidR="00076E84" w:rsidRPr="009B63F9" w:rsidTr="00CF6359">
        <w:trPr>
          <w:jc w:val="right"/>
        </w:trPr>
        <w:tc>
          <w:tcPr>
            <w:tcW w:w="1215" w:type="dxa"/>
          </w:tcPr>
          <w:p w:rsidR="00076E84" w:rsidRPr="009B63F9" w:rsidRDefault="00076E84" w:rsidP="00CF6359">
            <w:pPr>
              <w:rPr>
                <w:b/>
              </w:rPr>
            </w:pPr>
          </w:p>
        </w:tc>
        <w:tc>
          <w:tcPr>
            <w:tcW w:w="3774" w:type="dxa"/>
          </w:tcPr>
          <w:p w:rsidR="00076E84" w:rsidRPr="008B104C" w:rsidRDefault="00076E84" w:rsidP="00CF6359">
            <w:r w:rsidRPr="008B104C">
              <w:t>UKUPNO</w:t>
            </w:r>
          </w:p>
        </w:tc>
        <w:tc>
          <w:tcPr>
            <w:tcW w:w="1338" w:type="dxa"/>
            <w:vAlign w:val="center"/>
          </w:tcPr>
          <w:p w:rsidR="00076E84" w:rsidRPr="008B104C" w:rsidRDefault="00076E84" w:rsidP="00CF6359">
            <w:pPr>
              <w:jc w:val="right"/>
            </w:pPr>
            <w:r w:rsidRPr="008B104C">
              <w:t>166.085.912</w:t>
            </w:r>
          </w:p>
        </w:tc>
        <w:tc>
          <w:tcPr>
            <w:tcW w:w="1338" w:type="dxa"/>
            <w:vAlign w:val="center"/>
          </w:tcPr>
          <w:p w:rsidR="00076E84" w:rsidRPr="008B104C" w:rsidRDefault="00076E84" w:rsidP="00CF6359">
            <w:pPr>
              <w:jc w:val="right"/>
            </w:pPr>
            <w:r>
              <w:t>172.869.334</w:t>
            </w:r>
          </w:p>
        </w:tc>
        <w:tc>
          <w:tcPr>
            <w:tcW w:w="1408" w:type="dxa"/>
            <w:vAlign w:val="center"/>
          </w:tcPr>
          <w:p w:rsidR="00076E84" w:rsidRPr="008B104C" w:rsidRDefault="00076E84" w:rsidP="00CF6359">
            <w:pPr>
              <w:jc w:val="right"/>
            </w:pPr>
            <w:r>
              <w:t>6.783.422</w:t>
            </w:r>
          </w:p>
        </w:tc>
      </w:tr>
    </w:tbl>
    <w:p w:rsidR="00076E84" w:rsidRDefault="00076E84" w:rsidP="00076E84">
      <w:pPr>
        <w:spacing w:after="0"/>
        <w:rPr>
          <w:b/>
        </w:rPr>
      </w:pPr>
    </w:p>
    <w:p w:rsidR="00076E84" w:rsidRDefault="00076E84" w:rsidP="00076E84">
      <w:r>
        <w:rPr>
          <w:b/>
        </w:rPr>
        <w:t>Bilješka br. 22</w:t>
      </w:r>
      <w:r>
        <w:t xml:space="preserve"> – AOP 152 </w:t>
      </w:r>
      <w:r w:rsidRPr="00D95E2B">
        <w:t>Potraživanja za upravne i administrativne pristojbe, pristojbe po posebnim propisima i naknade</w:t>
      </w:r>
    </w:p>
    <w:tbl>
      <w:tblPr>
        <w:tblStyle w:val="TableGrid"/>
        <w:tblW w:w="0" w:type="auto"/>
        <w:jc w:val="center"/>
        <w:tblLook w:val="04A0" w:firstRow="1" w:lastRow="0" w:firstColumn="1" w:lastColumn="0" w:noHBand="0" w:noVBand="1"/>
      </w:tblPr>
      <w:tblGrid>
        <w:gridCol w:w="805"/>
        <w:gridCol w:w="2308"/>
        <w:gridCol w:w="568"/>
        <w:gridCol w:w="1660"/>
        <w:gridCol w:w="1660"/>
        <w:gridCol w:w="956"/>
        <w:gridCol w:w="1331"/>
      </w:tblGrid>
      <w:tr w:rsidR="00076E84" w:rsidRPr="00774066" w:rsidTr="00CF6359">
        <w:trPr>
          <w:trHeight w:val="600"/>
          <w:jc w:val="center"/>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0" w:type="auto"/>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0" w:type="auto"/>
            <w:shd w:val="clear" w:color="auto" w:fill="DEEAF6" w:themeFill="accent1" w:themeFillTint="33"/>
            <w:vAlign w:val="center"/>
            <w:hideMark/>
          </w:tcPr>
          <w:p w:rsidR="00076E84" w:rsidRPr="00774066" w:rsidRDefault="00076E84" w:rsidP="00CF6359">
            <w:pPr>
              <w:jc w:val="center"/>
            </w:pPr>
            <w:r>
              <w:t>Smanjenje</w:t>
            </w:r>
          </w:p>
        </w:tc>
      </w:tr>
      <w:tr w:rsidR="00076E84" w:rsidRPr="00774066" w:rsidTr="00CF6359">
        <w:trPr>
          <w:trHeight w:val="195"/>
          <w:jc w:val="center"/>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AF1142">
              <w:rPr>
                <w:sz w:val="16"/>
                <w:szCs w:val="16"/>
              </w:rPr>
              <w:t>7=5-4</w:t>
            </w:r>
          </w:p>
        </w:tc>
      </w:tr>
      <w:tr w:rsidR="00076E84" w:rsidTr="00CF6359">
        <w:trPr>
          <w:trHeight w:val="300"/>
          <w:jc w:val="center"/>
        </w:trPr>
        <w:tc>
          <w:tcPr>
            <w:tcW w:w="0" w:type="auto"/>
            <w:noWrap/>
            <w:vAlign w:val="center"/>
            <w:hideMark/>
          </w:tcPr>
          <w:p w:rsidR="00076E84" w:rsidRPr="000362D3" w:rsidRDefault="00076E84" w:rsidP="00CF6359">
            <w:pPr>
              <w:jc w:val="right"/>
            </w:pPr>
            <w:r>
              <w:t>165</w:t>
            </w:r>
          </w:p>
        </w:tc>
        <w:tc>
          <w:tcPr>
            <w:tcW w:w="0" w:type="auto"/>
            <w:vAlign w:val="center"/>
            <w:hideMark/>
          </w:tcPr>
          <w:p w:rsidR="00076E84" w:rsidRPr="000362D3" w:rsidRDefault="00076E84" w:rsidP="00CF6359">
            <w:r w:rsidRPr="00D4387F">
              <w:t>Potraživanja za upravne i administrativne pristojbe, pristojbe po posebnim propisima i naknade</w:t>
            </w:r>
          </w:p>
        </w:tc>
        <w:tc>
          <w:tcPr>
            <w:tcW w:w="0" w:type="auto"/>
            <w:noWrap/>
            <w:vAlign w:val="center"/>
            <w:hideMark/>
          </w:tcPr>
          <w:p w:rsidR="00076E84" w:rsidRPr="000362D3" w:rsidRDefault="00076E84" w:rsidP="00CF6359">
            <w:pPr>
              <w:jc w:val="right"/>
            </w:pPr>
            <w:r>
              <w:t>152</w:t>
            </w:r>
          </w:p>
        </w:tc>
        <w:tc>
          <w:tcPr>
            <w:tcW w:w="0" w:type="auto"/>
            <w:noWrap/>
            <w:vAlign w:val="center"/>
            <w:hideMark/>
          </w:tcPr>
          <w:p w:rsidR="00076E84" w:rsidRPr="00E26CDE" w:rsidRDefault="00076E84" w:rsidP="00CF6359">
            <w:pPr>
              <w:jc w:val="right"/>
            </w:pPr>
            <w:r>
              <w:t>765.657.870</w:t>
            </w:r>
          </w:p>
        </w:tc>
        <w:tc>
          <w:tcPr>
            <w:tcW w:w="0" w:type="auto"/>
            <w:noWrap/>
            <w:vAlign w:val="center"/>
          </w:tcPr>
          <w:p w:rsidR="00076E84" w:rsidRDefault="00076E84" w:rsidP="00CF6359">
            <w:pPr>
              <w:jc w:val="right"/>
            </w:pPr>
            <w:r>
              <w:t>606.232.295</w:t>
            </w:r>
          </w:p>
        </w:tc>
        <w:tc>
          <w:tcPr>
            <w:tcW w:w="0" w:type="auto"/>
            <w:noWrap/>
            <w:vAlign w:val="center"/>
          </w:tcPr>
          <w:p w:rsidR="00076E84" w:rsidRPr="003F015E" w:rsidRDefault="00076E84" w:rsidP="00CF6359">
            <w:pPr>
              <w:jc w:val="right"/>
            </w:pPr>
            <w:r>
              <w:t>79,2</w:t>
            </w:r>
          </w:p>
        </w:tc>
        <w:tc>
          <w:tcPr>
            <w:tcW w:w="0" w:type="auto"/>
            <w:noWrap/>
            <w:vAlign w:val="center"/>
          </w:tcPr>
          <w:p w:rsidR="00076E84" w:rsidRDefault="00076E84" w:rsidP="00CF6359">
            <w:pPr>
              <w:jc w:val="right"/>
            </w:pPr>
            <w:r>
              <w:t>159.425.575</w:t>
            </w:r>
          </w:p>
        </w:tc>
      </w:tr>
    </w:tbl>
    <w:p w:rsidR="00076E84" w:rsidRDefault="00076E84" w:rsidP="00076E84">
      <w:pPr>
        <w:spacing w:after="0"/>
      </w:pPr>
    </w:p>
    <w:p w:rsidR="00076E84" w:rsidRPr="00D95E2B" w:rsidRDefault="00076E84" w:rsidP="00076E84">
      <w:r>
        <w:t>Prikaz analitike</w:t>
      </w:r>
      <w:r w:rsidRPr="00E61CC0">
        <w:t xml:space="preserve"> </w:t>
      </w:r>
      <w:r>
        <w:t>p</w:t>
      </w:r>
      <w:r w:rsidRPr="00D95E2B">
        <w:t>otraživanja za upravne i administrativne pristojbe, pristojbe po posebnim propisima i naknade</w:t>
      </w:r>
      <w:r>
        <w:t xml:space="preserve"> iz Glavne knjige:</w:t>
      </w:r>
    </w:p>
    <w:tbl>
      <w:tblPr>
        <w:tblStyle w:val="TableGrid"/>
        <w:tblW w:w="0" w:type="auto"/>
        <w:jc w:val="center"/>
        <w:tblLook w:val="04A0" w:firstRow="1" w:lastRow="0" w:firstColumn="1" w:lastColumn="0" w:noHBand="0" w:noVBand="1"/>
      </w:tblPr>
      <w:tblGrid>
        <w:gridCol w:w="4390"/>
        <w:gridCol w:w="1559"/>
        <w:gridCol w:w="1331"/>
        <w:gridCol w:w="1504"/>
      </w:tblGrid>
      <w:tr w:rsidR="00076E84" w:rsidTr="00CF6359">
        <w:trPr>
          <w:trHeight w:val="488"/>
          <w:jc w:val="center"/>
        </w:trPr>
        <w:tc>
          <w:tcPr>
            <w:tcW w:w="4390" w:type="dxa"/>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1559" w:type="dxa"/>
            <w:tcBorders>
              <w:bottom w:val="single" w:sz="4" w:space="0" w:color="auto"/>
            </w:tcBorders>
            <w:shd w:val="clear" w:color="auto" w:fill="DEEAF6" w:themeFill="accent1" w:themeFillTint="33"/>
          </w:tcPr>
          <w:p w:rsidR="00076E84" w:rsidRPr="00773C3E" w:rsidRDefault="00076E84" w:rsidP="00CF6359">
            <w:pPr>
              <w:jc w:val="center"/>
            </w:pPr>
            <w:r w:rsidRPr="00773C3E">
              <w:t>Stanje 01.01.1</w:t>
            </w:r>
            <w:r>
              <w:t>8</w:t>
            </w:r>
            <w:r w:rsidRPr="00773C3E">
              <w:t>.</w:t>
            </w:r>
          </w:p>
        </w:tc>
        <w:tc>
          <w:tcPr>
            <w:tcW w:w="1331" w:type="dxa"/>
            <w:tcBorders>
              <w:bottom w:val="single" w:sz="4" w:space="0" w:color="auto"/>
            </w:tcBorders>
            <w:shd w:val="clear" w:color="auto" w:fill="DEEAF6" w:themeFill="accent1" w:themeFillTint="33"/>
          </w:tcPr>
          <w:p w:rsidR="00076E84" w:rsidRPr="00773C3E" w:rsidRDefault="00076E84" w:rsidP="00CF6359">
            <w:pPr>
              <w:jc w:val="center"/>
            </w:pPr>
            <w:r w:rsidRPr="00773C3E">
              <w:t>Stanje 31.12.1</w:t>
            </w:r>
            <w:r>
              <w:t>8</w:t>
            </w:r>
            <w:r w:rsidRPr="00773C3E">
              <w:t>.</w:t>
            </w:r>
          </w:p>
        </w:tc>
        <w:tc>
          <w:tcPr>
            <w:tcW w:w="1504" w:type="dxa"/>
            <w:tcBorders>
              <w:bottom w:val="single" w:sz="4" w:space="0" w:color="auto"/>
            </w:tcBorders>
            <w:shd w:val="clear" w:color="auto" w:fill="DEEAF6" w:themeFill="accent1" w:themeFillTint="33"/>
          </w:tcPr>
          <w:p w:rsidR="00076E84" w:rsidRPr="00773C3E" w:rsidRDefault="00076E84" w:rsidP="00CF6359">
            <w:r w:rsidRPr="00773C3E">
              <w:t>Povećanje/</w:t>
            </w:r>
            <w:r>
              <w:t xml:space="preserve"> Smanjenje</w:t>
            </w:r>
          </w:p>
        </w:tc>
      </w:tr>
      <w:tr w:rsidR="00076E84" w:rsidRPr="00BE576B" w:rsidTr="00CF6359">
        <w:trPr>
          <w:trHeight w:val="112"/>
          <w:jc w:val="center"/>
        </w:trPr>
        <w:tc>
          <w:tcPr>
            <w:tcW w:w="4390" w:type="dxa"/>
            <w:shd w:val="clear" w:color="auto" w:fill="DEEAF6" w:themeFill="accent1" w:themeFillTint="33"/>
          </w:tcPr>
          <w:p w:rsidR="00076E84" w:rsidRPr="00BE576B" w:rsidRDefault="00076E84" w:rsidP="00CF6359">
            <w:pPr>
              <w:jc w:val="center"/>
              <w:rPr>
                <w:sz w:val="16"/>
                <w:szCs w:val="16"/>
              </w:rPr>
            </w:pPr>
            <w:r>
              <w:rPr>
                <w:sz w:val="16"/>
                <w:szCs w:val="16"/>
              </w:rPr>
              <w:t>1</w:t>
            </w:r>
          </w:p>
        </w:tc>
        <w:tc>
          <w:tcPr>
            <w:tcW w:w="1559" w:type="dxa"/>
            <w:shd w:val="clear" w:color="auto" w:fill="DEEAF6" w:themeFill="accent1" w:themeFillTint="33"/>
          </w:tcPr>
          <w:p w:rsidR="00076E84" w:rsidRPr="00BE576B" w:rsidRDefault="00076E84" w:rsidP="00CF6359">
            <w:pPr>
              <w:jc w:val="center"/>
              <w:rPr>
                <w:sz w:val="16"/>
                <w:szCs w:val="16"/>
              </w:rPr>
            </w:pPr>
            <w:r>
              <w:rPr>
                <w:sz w:val="16"/>
                <w:szCs w:val="16"/>
              </w:rPr>
              <w:t>2</w:t>
            </w:r>
          </w:p>
        </w:tc>
        <w:tc>
          <w:tcPr>
            <w:tcW w:w="1331" w:type="dxa"/>
            <w:shd w:val="clear" w:color="auto" w:fill="DEEAF6" w:themeFill="accent1" w:themeFillTint="33"/>
          </w:tcPr>
          <w:p w:rsidR="00076E84" w:rsidRPr="00BE576B" w:rsidRDefault="00076E84" w:rsidP="00CF6359">
            <w:pPr>
              <w:jc w:val="center"/>
              <w:rPr>
                <w:sz w:val="16"/>
                <w:szCs w:val="16"/>
              </w:rPr>
            </w:pPr>
            <w:r>
              <w:rPr>
                <w:sz w:val="16"/>
                <w:szCs w:val="16"/>
              </w:rPr>
              <w:t>3</w:t>
            </w:r>
          </w:p>
        </w:tc>
        <w:tc>
          <w:tcPr>
            <w:tcW w:w="1504" w:type="dxa"/>
            <w:shd w:val="clear" w:color="auto" w:fill="DEEAF6" w:themeFill="accent1" w:themeFillTint="33"/>
          </w:tcPr>
          <w:p w:rsidR="00076E84" w:rsidRPr="00BE576B" w:rsidRDefault="00076E84" w:rsidP="00CF6359">
            <w:pPr>
              <w:jc w:val="center"/>
              <w:rPr>
                <w:sz w:val="16"/>
                <w:szCs w:val="16"/>
              </w:rPr>
            </w:pPr>
            <w:r>
              <w:rPr>
                <w:sz w:val="16"/>
                <w:szCs w:val="16"/>
              </w:rPr>
              <w:t>4=3-2</w:t>
            </w:r>
          </w:p>
        </w:tc>
      </w:tr>
      <w:tr w:rsidR="00076E84" w:rsidRPr="007A6B66" w:rsidTr="00CF6359">
        <w:trPr>
          <w:jc w:val="center"/>
        </w:trPr>
        <w:tc>
          <w:tcPr>
            <w:tcW w:w="4390" w:type="dxa"/>
          </w:tcPr>
          <w:p w:rsidR="00076E84" w:rsidRPr="007A6B66" w:rsidRDefault="00076E84" w:rsidP="00CF6359">
            <w:r>
              <w:t>Ostali nespomenuti prihodi – kupci (katastar)</w:t>
            </w:r>
          </w:p>
        </w:tc>
        <w:tc>
          <w:tcPr>
            <w:tcW w:w="1559" w:type="dxa"/>
          </w:tcPr>
          <w:p w:rsidR="00076E84" w:rsidRPr="006437B5" w:rsidRDefault="00076E84" w:rsidP="00CF6359">
            <w:pPr>
              <w:jc w:val="right"/>
            </w:pPr>
            <w:r w:rsidRPr="006437B5">
              <w:t>33.799</w:t>
            </w:r>
          </w:p>
        </w:tc>
        <w:tc>
          <w:tcPr>
            <w:tcW w:w="1331" w:type="dxa"/>
          </w:tcPr>
          <w:p w:rsidR="00076E84" w:rsidRDefault="00076E84" w:rsidP="00CF6359">
            <w:pPr>
              <w:jc w:val="right"/>
            </w:pPr>
            <w:r>
              <w:t>14.126</w:t>
            </w:r>
          </w:p>
        </w:tc>
        <w:tc>
          <w:tcPr>
            <w:tcW w:w="1504" w:type="dxa"/>
          </w:tcPr>
          <w:p w:rsidR="00076E84" w:rsidRDefault="00076E84" w:rsidP="00CF6359">
            <w:pPr>
              <w:jc w:val="right"/>
            </w:pPr>
            <w:r>
              <w:t>-19.673</w:t>
            </w:r>
          </w:p>
        </w:tc>
      </w:tr>
      <w:tr w:rsidR="00076E84" w:rsidTr="00CF6359">
        <w:trPr>
          <w:jc w:val="center"/>
        </w:trPr>
        <w:tc>
          <w:tcPr>
            <w:tcW w:w="4390" w:type="dxa"/>
          </w:tcPr>
          <w:p w:rsidR="00076E84" w:rsidRDefault="00076E84" w:rsidP="00CF6359">
            <w:r>
              <w:t>Naknada za odlaganje otpada</w:t>
            </w:r>
          </w:p>
        </w:tc>
        <w:tc>
          <w:tcPr>
            <w:tcW w:w="1559" w:type="dxa"/>
          </w:tcPr>
          <w:p w:rsidR="00076E84" w:rsidRPr="006437B5" w:rsidRDefault="00076E84" w:rsidP="00CF6359">
            <w:pPr>
              <w:jc w:val="right"/>
            </w:pPr>
            <w:r w:rsidRPr="006437B5">
              <w:t>0</w:t>
            </w:r>
          </w:p>
        </w:tc>
        <w:tc>
          <w:tcPr>
            <w:tcW w:w="1331" w:type="dxa"/>
          </w:tcPr>
          <w:p w:rsidR="00076E84" w:rsidRDefault="00076E84" w:rsidP="00CF6359">
            <w:pPr>
              <w:jc w:val="right"/>
            </w:pPr>
            <w:r>
              <w:t>1.375.454</w:t>
            </w:r>
          </w:p>
        </w:tc>
        <w:tc>
          <w:tcPr>
            <w:tcW w:w="1504" w:type="dxa"/>
          </w:tcPr>
          <w:p w:rsidR="00076E84" w:rsidRDefault="00076E84" w:rsidP="00CF6359">
            <w:pPr>
              <w:jc w:val="right"/>
            </w:pPr>
            <w:r>
              <w:t>1.375.454</w:t>
            </w:r>
          </w:p>
        </w:tc>
      </w:tr>
      <w:tr w:rsidR="00076E84" w:rsidTr="00CF6359">
        <w:trPr>
          <w:jc w:val="center"/>
        </w:trPr>
        <w:tc>
          <w:tcPr>
            <w:tcW w:w="4390" w:type="dxa"/>
          </w:tcPr>
          <w:p w:rsidR="00076E84" w:rsidRDefault="00076E84" w:rsidP="00CF6359">
            <w:r>
              <w:t>Boravišne pristojbe</w:t>
            </w:r>
          </w:p>
        </w:tc>
        <w:tc>
          <w:tcPr>
            <w:tcW w:w="1559" w:type="dxa"/>
          </w:tcPr>
          <w:p w:rsidR="00076E84" w:rsidRPr="006437B5" w:rsidRDefault="00076E84" w:rsidP="00CF6359">
            <w:pPr>
              <w:jc w:val="right"/>
            </w:pPr>
            <w:r w:rsidRPr="006437B5">
              <w:t>163.311</w:t>
            </w:r>
          </w:p>
        </w:tc>
        <w:tc>
          <w:tcPr>
            <w:tcW w:w="1331" w:type="dxa"/>
          </w:tcPr>
          <w:p w:rsidR="00076E84" w:rsidRDefault="00076E84" w:rsidP="00CF6359">
            <w:pPr>
              <w:jc w:val="right"/>
            </w:pPr>
            <w:r>
              <w:t>227.509</w:t>
            </w:r>
          </w:p>
        </w:tc>
        <w:tc>
          <w:tcPr>
            <w:tcW w:w="1504" w:type="dxa"/>
          </w:tcPr>
          <w:p w:rsidR="00076E84" w:rsidRDefault="00076E84" w:rsidP="00CF6359">
            <w:pPr>
              <w:jc w:val="right"/>
            </w:pPr>
            <w:r>
              <w:t>64.198</w:t>
            </w:r>
          </w:p>
        </w:tc>
      </w:tr>
      <w:tr w:rsidR="00076E84" w:rsidTr="00CF6359">
        <w:trPr>
          <w:jc w:val="center"/>
        </w:trPr>
        <w:tc>
          <w:tcPr>
            <w:tcW w:w="4390" w:type="dxa"/>
          </w:tcPr>
          <w:p w:rsidR="00076E84" w:rsidRDefault="00076E84" w:rsidP="00CF6359">
            <w:r>
              <w:t>Doprinos za šume</w:t>
            </w:r>
          </w:p>
        </w:tc>
        <w:tc>
          <w:tcPr>
            <w:tcW w:w="1559" w:type="dxa"/>
          </w:tcPr>
          <w:p w:rsidR="00076E84" w:rsidRPr="006437B5" w:rsidRDefault="00076E84" w:rsidP="00CF6359">
            <w:pPr>
              <w:jc w:val="right"/>
            </w:pPr>
            <w:r w:rsidRPr="006437B5">
              <w:t>80.498</w:t>
            </w:r>
          </w:p>
        </w:tc>
        <w:tc>
          <w:tcPr>
            <w:tcW w:w="1331" w:type="dxa"/>
          </w:tcPr>
          <w:p w:rsidR="00076E84" w:rsidRDefault="00076E84" w:rsidP="00CF6359">
            <w:pPr>
              <w:jc w:val="right"/>
            </w:pPr>
            <w:r>
              <w:t>76.051</w:t>
            </w:r>
          </w:p>
        </w:tc>
        <w:tc>
          <w:tcPr>
            <w:tcW w:w="1504" w:type="dxa"/>
          </w:tcPr>
          <w:p w:rsidR="00076E84" w:rsidRDefault="00076E84" w:rsidP="00CF6359">
            <w:pPr>
              <w:jc w:val="right"/>
            </w:pPr>
            <w:r>
              <w:t>-4.447</w:t>
            </w:r>
          </w:p>
        </w:tc>
      </w:tr>
      <w:tr w:rsidR="00076E84" w:rsidTr="00CF6359">
        <w:trPr>
          <w:jc w:val="center"/>
        </w:trPr>
        <w:tc>
          <w:tcPr>
            <w:tcW w:w="4390" w:type="dxa"/>
          </w:tcPr>
          <w:p w:rsidR="00076E84" w:rsidRDefault="00076E84" w:rsidP="00CF6359">
            <w:r>
              <w:t>Sufinanciranje u cijeni programa predškolskog odgoja</w:t>
            </w:r>
          </w:p>
        </w:tc>
        <w:tc>
          <w:tcPr>
            <w:tcW w:w="1559" w:type="dxa"/>
            <w:vAlign w:val="center"/>
          </w:tcPr>
          <w:p w:rsidR="00076E84" w:rsidRPr="006437B5" w:rsidRDefault="00076E84" w:rsidP="00CF6359">
            <w:pPr>
              <w:jc w:val="right"/>
            </w:pPr>
            <w:r w:rsidRPr="006437B5">
              <w:t>22.509.031</w:t>
            </w:r>
          </w:p>
        </w:tc>
        <w:tc>
          <w:tcPr>
            <w:tcW w:w="1331" w:type="dxa"/>
            <w:vAlign w:val="center"/>
          </w:tcPr>
          <w:p w:rsidR="00076E84" w:rsidRDefault="00076E84" w:rsidP="00CF6359">
            <w:pPr>
              <w:jc w:val="right"/>
            </w:pPr>
            <w:r>
              <w:t>24.589.890</w:t>
            </w:r>
          </w:p>
        </w:tc>
        <w:tc>
          <w:tcPr>
            <w:tcW w:w="1504" w:type="dxa"/>
            <w:vAlign w:val="center"/>
          </w:tcPr>
          <w:p w:rsidR="00076E84" w:rsidRDefault="00076E84" w:rsidP="00CF6359">
            <w:pPr>
              <w:jc w:val="right"/>
            </w:pPr>
            <w:r>
              <w:t>2.080.859</w:t>
            </w:r>
          </w:p>
        </w:tc>
      </w:tr>
      <w:tr w:rsidR="00076E84" w:rsidTr="00CF6359">
        <w:trPr>
          <w:jc w:val="center"/>
        </w:trPr>
        <w:tc>
          <w:tcPr>
            <w:tcW w:w="4390" w:type="dxa"/>
          </w:tcPr>
          <w:p w:rsidR="00076E84" w:rsidRDefault="00076E84" w:rsidP="00CF6359">
            <w:r>
              <w:t>Komunalni doprinos</w:t>
            </w:r>
          </w:p>
        </w:tc>
        <w:tc>
          <w:tcPr>
            <w:tcW w:w="1559" w:type="dxa"/>
          </w:tcPr>
          <w:p w:rsidR="00076E84" w:rsidRPr="006437B5" w:rsidRDefault="00076E84" w:rsidP="00CF6359">
            <w:pPr>
              <w:jc w:val="right"/>
            </w:pPr>
            <w:r w:rsidRPr="006437B5">
              <w:t>468.020.564</w:t>
            </w:r>
          </w:p>
        </w:tc>
        <w:tc>
          <w:tcPr>
            <w:tcW w:w="1331" w:type="dxa"/>
          </w:tcPr>
          <w:p w:rsidR="00076E84" w:rsidRDefault="00076E84" w:rsidP="00CF6359">
            <w:pPr>
              <w:jc w:val="right"/>
            </w:pPr>
            <w:r>
              <w:t>351.916.112</w:t>
            </w:r>
          </w:p>
        </w:tc>
        <w:tc>
          <w:tcPr>
            <w:tcW w:w="1504" w:type="dxa"/>
          </w:tcPr>
          <w:p w:rsidR="00076E84" w:rsidRDefault="00076E84" w:rsidP="00CF6359">
            <w:pPr>
              <w:jc w:val="right"/>
            </w:pPr>
            <w:r>
              <w:t>-116.104.452</w:t>
            </w:r>
          </w:p>
        </w:tc>
      </w:tr>
      <w:tr w:rsidR="00076E84" w:rsidTr="00CF6359">
        <w:trPr>
          <w:jc w:val="center"/>
        </w:trPr>
        <w:tc>
          <w:tcPr>
            <w:tcW w:w="4390" w:type="dxa"/>
          </w:tcPr>
          <w:p w:rsidR="00076E84" w:rsidRDefault="00076E84" w:rsidP="00CF6359">
            <w:r>
              <w:t>Komunalna naknada</w:t>
            </w:r>
          </w:p>
        </w:tc>
        <w:tc>
          <w:tcPr>
            <w:tcW w:w="1559" w:type="dxa"/>
          </w:tcPr>
          <w:p w:rsidR="00076E84" w:rsidRPr="006437B5" w:rsidRDefault="00076E84" w:rsidP="00CF6359">
            <w:pPr>
              <w:jc w:val="right"/>
            </w:pPr>
            <w:r w:rsidRPr="006437B5">
              <w:t>273.358.773</w:t>
            </w:r>
          </w:p>
        </w:tc>
        <w:tc>
          <w:tcPr>
            <w:tcW w:w="1331" w:type="dxa"/>
          </w:tcPr>
          <w:p w:rsidR="00076E84" w:rsidRDefault="00076E84" w:rsidP="00CF6359">
            <w:pPr>
              <w:jc w:val="right"/>
            </w:pPr>
            <w:r>
              <w:t>227.301.469</w:t>
            </w:r>
          </w:p>
        </w:tc>
        <w:tc>
          <w:tcPr>
            <w:tcW w:w="1504" w:type="dxa"/>
          </w:tcPr>
          <w:p w:rsidR="00076E84" w:rsidRDefault="00076E84" w:rsidP="00CF6359">
            <w:pPr>
              <w:jc w:val="right"/>
            </w:pPr>
            <w:r>
              <w:t>-46.057.304</w:t>
            </w:r>
          </w:p>
        </w:tc>
      </w:tr>
      <w:tr w:rsidR="00076E84" w:rsidTr="00CF6359">
        <w:trPr>
          <w:jc w:val="center"/>
        </w:trPr>
        <w:tc>
          <w:tcPr>
            <w:tcW w:w="4390" w:type="dxa"/>
          </w:tcPr>
          <w:p w:rsidR="00076E84" w:rsidRDefault="00076E84" w:rsidP="00CF6359">
            <w:r>
              <w:t>Naknade za priključak na kom. Infrastrukturu</w:t>
            </w:r>
          </w:p>
        </w:tc>
        <w:tc>
          <w:tcPr>
            <w:tcW w:w="1559" w:type="dxa"/>
          </w:tcPr>
          <w:p w:rsidR="00076E84" w:rsidRPr="006437B5" w:rsidRDefault="00076E84" w:rsidP="00CF6359">
            <w:pPr>
              <w:jc w:val="right"/>
            </w:pPr>
            <w:r w:rsidRPr="006437B5">
              <w:t>1.491.894</w:t>
            </w:r>
          </w:p>
        </w:tc>
        <w:tc>
          <w:tcPr>
            <w:tcW w:w="1331" w:type="dxa"/>
          </w:tcPr>
          <w:p w:rsidR="00076E84" w:rsidRDefault="00076E84" w:rsidP="00CF6359">
            <w:pPr>
              <w:jc w:val="right"/>
            </w:pPr>
            <w:r>
              <w:t>731.683</w:t>
            </w:r>
          </w:p>
        </w:tc>
        <w:tc>
          <w:tcPr>
            <w:tcW w:w="1504" w:type="dxa"/>
          </w:tcPr>
          <w:p w:rsidR="00076E84" w:rsidRDefault="00076E84" w:rsidP="00CF6359">
            <w:pPr>
              <w:jc w:val="right"/>
            </w:pPr>
            <w:r>
              <w:t>-760.211</w:t>
            </w:r>
          </w:p>
        </w:tc>
      </w:tr>
      <w:tr w:rsidR="00076E84" w:rsidRPr="00D95E2B" w:rsidTr="00CF6359">
        <w:trPr>
          <w:jc w:val="center"/>
        </w:trPr>
        <w:tc>
          <w:tcPr>
            <w:tcW w:w="4390" w:type="dxa"/>
          </w:tcPr>
          <w:p w:rsidR="00076E84" w:rsidRPr="008B104C" w:rsidRDefault="00076E84" w:rsidP="00CF6359">
            <w:r w:rsidRPr="008B104C">
              <w:t>UKUPNO</w:t>
            </w:r>
          </w:p>
        </w:tc>
        <w:tc>
          <w:tcPr>
            <w:tcW w:w="1559" w:type="dxa"/>
          </w:tcPr>
          <w:p w:rsidR="00076E84" w:rsidRPr="008B104C" w:rsidRDefault="00076E84" w:rsidP="00CF6359">
            <w:pPr>
              <w:jc w:val="right"/>
            </w:pPr>
            <w:r w:rsidRPr="008B104C">
              <w:t>765.657.870</w:t>
            </w:r>
          </w:p>
        </w:tc>
        <w:tc>
          <w:tcPr>
            <w:tcW w:w="1331" w:type="dxa"/>
          </w:tcPr>
          <w:p w:rsidR="00076E84" w:rsidRPr="008B104C" w:rsidRDefault="00076E84" w:rsidP="00CF6359">
            <w:pPr>
              <w:jc w:val="right"/>
            </w:pPr>
            <w:r>
              <w:t>606.232.295</w:t>
            </w:r>
          </w:p>
        </w:tc>
        <w:tc>
          <w:tcPr>
            <w:tcW w:w="1504" w:type="dxa"/>
          </w:tcPr>
          <w:p w:rsidR="00076E84" w:rsidRPr="008B104C" w:rsidRDefault="00076E84" w:rsidP="00CF6359">
            <w:pPr>
              <w:jc w:val="right"/>
            </w:pPr>
            <w:r>
              <w:t>-159.425.575</w:t>
            </w:r>
          </w:p>
        </w:tc>
      </w:tr>
    </w:tbl>
    <w:p w:rsidR="00076E84" w:rsidRDefault="00076E84" w:rsidP="00076E84">
      <w:pPr>
        <w:spacing w:after="0"/>
        <w:rPr>
          <w:b/>
        </w:rPr>
      </w:pPr>
    </w:p>
    <w:p w:rsidR="00076E84" w:rsidRDefault="00076E84" w:rsidP="00076E84">
      <w:r>
        <w:rPr>
          <w:b/>
        </w:rPr>
        <w:lastRenderedPageBreak/>
        <w:t>Bilješka br. 23</w:t>
      </w:r>
      <w:r>
        <w:t xml:space="preserve"> – AOP 155 </w:t>
      </w:r>
      <w:r w:rsidRPr="000666C2">
        <w:t>Potraživanja za kazne i upravne mjere te ostale prihode</w:t>
      </w:r>
    </w:p>
    <w:tbl>
      <w:tblPr>
        <w:tblStyle w:val="TableGrid"/>
        <w:tblW w:w="9400" w:type="dxa"/>
        <w:tblLayout w:type="fixed"/>
        <w:tblLook w:val="04A0" w:firstRow="1" w:lastRow="0" w:firstColumn="1" w:lastColumn="0" w:noHBand="0" w:noVBand="1"/>
      </w:tblPr>
      <w:tblGrid>
        <w:gridCol w:w="805"/>
        <w:gridCol w:w="2498"/>
        <w:gridCol w:w="568"/>
        <w:gridCol w:w="1511"/>
        <w:gridCol w:w="1559"/>
        <w:gridCol w:w="992"/>
        <w:gridCol w:w="1467"/>
      </w:tblGrid>
      <w:tr w:rsidR="00076E84" w:rsidRPr="00774066" w:rsidTr="00CF6359">
        <w:trPr>
          <w:trHeight w:val="600"/>
        </w:trPr>
        <w:tc>
          <w:tcPr>
            <w:tcW w:w="805"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498" w:type="dxa"/>
            <w:shd w:val="clear" w:color="auto" w:fill="DEEAF6" w:themeFill="accent1" w:themeFillTint="33"/>
            <w:vAlign w:val="center"/>
            <w:hideMark/>
          </w:tcPr>
          <w:p w:rsidR="00076E84" w:rsidRPr="00774066" w:rsidRDefault="00076E84" w:rsidP="00CF6359">
            <w:pPr>
              <w:jc w:val="center"/>
            </w:pPr>
            <w:r w:rsidRPr="00774066">
              <w:t>OPIS</w:t>
            </w:r>
          </w:p>
        </w:tc>
        <w:tc>
          <w:tcPr>
            <w:tcW w:w="568"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511"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55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92"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67" w:type="dxa"/>
            <w:shd w:val="clear" w:color="auto" w:fill="DEEAF6" w:themeFill="accent1" w:themeFillTint="33"/>
            <w:vAlign w:val="center"/>
            <w:hideMark/>
          </w:tcPr>
          <w:p w:rsidR="00076E84" w:rsidRPr="00774066" w:rsidRDefault="00076E84" w:rsidP="00CF6359">
            <w:pPr>
              <w:jc w:val="center"/>
            </w:pPr>
            <w:r>
              <w:t>Smanjenje</w:t>
            </w:r>
          </w:p>
        </w:tc>
      </w:tr>
      <w:tr w:rsidR="00076E84" w:rsidRPr="00774066" w:rsidTr="00CF6359">
        <w:trPr>
          <w:trHeight w:val="195"/>
        </w:trPr>
        <w:tc>
          <w:tcPr>
            <w:tcW w:w="805"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498"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568"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511"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55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92"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67" w:type="dxa"/>
            <w:shd w:val="clear" w:color="auto" w:fill="DEEAF6" w:themeFill="accent1" w:themeFillTint="33"/>
            <w:noWrap/>
            <w:hideMark/>
          </w:tcPr>
          <w:p w:rsidR="00076E84" w:rsidRPr="00774066" w:rsidRDefault="00076E84" w:rsidP="00CF6359">
            <w:pPr>
              <w:jc w:val="center"/>
              <w:rPr>
                <w:sz w:val="16"/>
                <w:szCs w:val="16"/>
              </w:rPr>
            </w:pPr>
            <w:r w:rsidRPr="00AF1142">
              <w:rPr>
                <w:sz w:val="16"/>
                <w:szCs w:val="16"/>
              </w:rPr>
              <w:t>7=5-4</w:t>
            </w:r>
          </w:p>
        </w:tc>
      </w:tr>
      <w:tr w:rsidR="00076E84" w:rsidTr="00CF6359">
        <w:trPr>
          <w:trHeight w:val="300"/>
        </w:trPr>
        <w:tc>
          <w:tcPr>
            <w:tcW w:w="805" w:type="dxa"/>
            <w:noWrap/>
            <w:vAlign w:val="center"/>
            <w:hideMark/>
          </w:tcPr>
          <w:p w:rsidR="00076E84" w:rsidRPr="000362D3" w:rsidRDefault="00076E84" w:rsidP="00CF6359">
            <w:pPr>
              <w:jc w:val="right"/>
            </w:pPr>
            <w:r>
              <w:t>168</w:t>
            </w:r>
          </w:p>
        </w:tc>
        <w:tc>
          <w:tcPr>
            <w:tcW w:w="2498" w:type="dxa"/>
            <w:vAlign w:val="center"/>
            <w:hideMark/>
          </w:tcPr>
          <w:p w:rsidR="00076E84" w:rsidRPr="000362D3" w:rsidRDefault="00076E84" w:rsidP="00CF6359">
            <w:r w:rsidRPr="000666C2">
              <w:t>Potraživanja za kazne i upravne mjere te ostale prihode</w:t>
            </w:r>
          </w:p>
        </w:tc>
        <w:tc>
          <w:tcPr>
            <w:tcW w:w="568" w:type="dxa"/>
            <w:noWrap/>
            <w:vAlign w:val="center"/>
            <w:hideMark/>
          </w:tcPr>
          <w:p w:rsidR="00076E84" w:rsidRPr="000362D3" w:rsidRDefault="00076E84" w:rsidP="00CF6359">
            <w:pPr>
              <w:jc w:val="right"/>
            </w:pPr>
            <w:r>
              <w:t>155</w:t>
            </w:r>
          </w:p>
        </w:tc>
        <w:tc>
          <w:tcPr>
            <w:tcW w:w="1511" w:type="dxa"/>
            <w:noWrap/>
            <w:vAlign w:val="center"/>
            <w:hideMark/>
          </w:tcPr>
          <w:p w:rsidR="00076E84" w:rsidRPr="00E26CDE" w:rsidRDefault="00076E84" w:rsidP="00CF6359">
            <w:pPr>
              <w:jc w:val="right"/>
            </w:pPr>
            <w:r w:rsidRPr="000652F5">
              <w:t>5.252.439</w:t>
            </w:r>
          </w:p>
        </w:tc>
        <w:tc>
          <w:tcPr>
            <w:tcW w:w="1559" w:type="dxa"/>
            <w:noWrap/>
            <w:vAlign w:val="center"/>
          </w:tcPr>
          <w:p w:rsidR="00076E84" w:rsidRDefault="00076E84" w:rsidP="00CF6359">
            <w:pPr>
              <w:jc w:val="right"/>
            </w:pPr>
            <w:r>
              <w:t>4.903.917</w:t>
            </w:r>
          </w:p>
        </w:tc>
        <w:tc>
          <w:tcPr>
            <w:tcW w:w="992" w:type="dxa"/>
            <w:noWrap/>
            <w:vAlign w:val="center"/>
          </w:tcPr>
          <w:p w:rsidR="00076E84" w:rsidRPr="003F015E" w:rsidRDefault="00076E84" w:rsidP="00CF6359">
            <w:pPr>
              <w:jc w:val="right"/>
            </w:pPr>
            <w:r>
              <w:t>93,4</w:t>
            </w:r>
          </w:p>
        </w:tc>
        <w:tc>
          <w:tcPr>
            <w:tcW w:w="1467" w:type="dxa"/>
            <w:noWrap/>
            <w:vAlign w:val="center"/>
          </w:tcPr>
          <w:p w:rsidR="00076E84" w:rsidRDefault="00076E84" w:rsidP="00CF6359">
            <w:pPr>
              <w:jc w:val="right"/>
            </w:pPr>
            <w:r>
              <w:t>348.522</w:t>
            </w:r>
          </w:p>
        </w:tc>
      </w:tr>
    </w:tbl>
    <w:p w:rsidR="00076E84" w:rsidRDefault="00076E84" w:rsidP="00076E84"/>
    <w:tbl>
      <w:tblPr>
        <w:tblStyle w:val="TableGrid"/>
        <w:tblW w:w="0" w:type="auto"/>
        <w:jc w:val="center"/>
        <w:tblLook w:val="04A0" w:firstRow="1" w:lastRow="0" w:firstColumn="1" w:lastColumn="0" w:noHBand="0" w:noVBand="1"/>
      </w:tblPr>
      <w:tblGrid>
        <w:gridCol w:w="4580"/>
        <w:gridCol w:w="1379"/>
        <w:gridCol w:w="1115"/>
        <w:gridCol w:w="1216"/>
      </w:tblGrid>
      <w:tr w:rsidR="00076E84" w:rsidTr="00CF6359">
        <w:trPr>
          <w:trHeight w:val="488"/>
          <w:jc w:val="center"/>
        </w:trPr>
        <w:tc>
          <w:tcPr>
            <w:tcW w:w="4580" w:type="dxa"/>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1379" w:type="dxa"/>
            <w:tcBorders>
              <w:bottom w:val="single" w:sz="4" w:space="0" w:color="auto"/>
            </w:tcBorders>
            <w:shd w:val="clear" w:color="auto" w:fill="DEEAF6" w:themeFill="accent1" w:themeFillTint="33"/>
          </w:tcPr>
          <w:p w:rsidR="00076E84" w:rsidRPr="002437DC" w:rsidRDefault="00076E84" w:rsidP="00CF6359">
            <w:pPr>
              <w:jc w:val="center"/>
            </w:pPr>
            <w:r w:rsidRPr="002437DC">
              <w:t>Stanje 01.01.1</w:t>
            </w:r>
            <w:r>
              <w:t>8</w:t>
            </w:r>
            <w:r w:rsidRPr="002437DC">
              <w:t>.</w:t>
            </w:r>
          </w:p>
        </w:tc>
        <w:tc>
          <w:tcPr>
            <w:tcW w:w="1115" w:type="dxa"/>
            <w:tcBorders>
              <w:bottom w:val="single" w:sz="4" w:space="0" w:color="auto"/>
            </w:tcBorders>
            <w:shd w:val="clear" w:color="auto" w:fill="DEEAF6" w:themeFill="accent1" w:themeFillTint="33"/>
          </w:tcPr>
          <w:p w:rsidR="00076E84" w:rsidRPr="002437DC" w:rsidRDefault="00076E84" w:rsidP="00CF6359">
            <w:pPr>
              <w:jc w:val="center"/>
            </w:pPr>
            <w:r w:rsidRPr="002437DC">
              <w:t>Stanje 31.12.1</w:t>
            </w:r>
            <w:r>
              <w:t>8</w:t>
            </w:r>
            <w:r w:rsidRPr="002437DC">
              <w:t>.</w:t>
            </w:r>
          </w:p>
        </w:tc>
        <w:tc>
          <w:tcPr>
            <w:tcW w:w="1216" w:type="dxa"/>
            <w:tcBorders>
              <w:bottom w:val="single" w:sz="4" w:space="0" w:color="auto"/>
            </w:tcBorders>
            <w:shd w:val="clear" w:color="auto" w:fill="DEEAF6" w:themeFill="accent1" w:themeFillTint="33"/>
          </w:tcPr>
          <w:p w:rsidR="00076E84" w:rsidRDefault="00076E84" w:rsidP="00CF6359">
            <w:pPr>
              <w:jc w:val="center"/>
            </w:pPr>
            <w:r w:rsidRPr="002437DC">
              <w:t>Povećanje/ Smanjenje</w:t>
            </w:r>
          </w:p>
        </w:tc>
      </w:tr>
      <w:tr w:rsidR="00076E84" w:rsidRPr="00BE576B" w:rsidTr="00CF6359">
        <w:trPr>
          <w:trHeight w:val="112"/>
          <w:jc w:val="center"/>
        </w:trPr>
        <w:tc>
          <w:tcPr>
            <w:tcW w:w="4580" w:type="dxa"/>
            <w:shd w:val="clear" w:color="auto" w:fill="DEEAF6" w:themeFill="accent1" w:themeFillTint="33"/>
          </w:tcPr>
          <w:p w:rsidR="00076E84" w:rsidRPr="00BE576B" w:rsidRDefault="00076E84" w:rsidP="00CF6359">
            <w:pPr>
              <w:jc w:val="center"/>
              <w:rPr>
                <w:sz w:val="16"/>
                <w:szCs w:val="16"/>
              </w:rPr>
            </w:pPr>
            <w:r>
              <w:rPr>
                <w:sz w:val="16"/>
                <w:szCs w:val="16"/>
              </w:rPr>
              <w:t>1</w:t>
            </w:r>
          </w:p>
        </w:tc>
        <w:tc>
          <w:tcPr>
            <w:tcW w:w="1379" w:type="dxa"/>
            <w:shd w:val="clear" w:color="auto" w:fill="DEEAF6" w:themeFill="accent1" w:themeFillTint="33"/>
          </w:tcPr>
          <w:p w:rsidR="00076E84" w:rsidRPr="00BE576B" w:rsidRDefault="00076E84" w:rsidP="00CF6359">
            <w:pPr>
              <w:jc w:val="center"/>
              <w:rPr>
                <w:sz w:val="16"/>
                <w:szCs w:val="16"/>
              </w:rPr>
            </w:pPr>
            <w:r>
              <w:rPr>
                <w:sz w:val="16"/>
                <w:szCs w:val="16"/>
              </w:rPr>
              <w:t>2</w:t>
            </w:r>
          </w:p>
        </w:tc>
        <w:tc>
          <w:tcPr>
            <w:tcW w:w="1115" w:type="dxa"/>
            <w:shd w:val="clear" w:color="auto" w:fill="DEEAF6" w:themeFill="accent1" w:themeFillTint="33"/>
          </w:tcPr>
          <w:p w:rsidR="00076E84" w:rsidRPr="00BE576B" w:rsidRDefault="00076E84" w:rsidP="00CF6359">
            <w:pPr>
              <w:jc w:val="center"/>
              <w:rPr>
                <w:sz w:val="16"/>
                <w:szCs w:val="16"/>
              </w:rPr>
            </w:pPr>
            <w:r>
              <w:rPr>
                <w:sz w:val="16"/>
                <w:szCs w:val="16"/>
              </w:rPr>
              <w:t>3</w:t>
            </w:r>
          </w:p>
        </w:tc>
        <w:tc>
          <w:tcPr>
            <w:tcW w:w="1216" w:type="dxa"/>
            <w:shd w:val="clear" w:color="auto" w:fill="DEEAF6" w:themeFill="accent1" w:themeFillTint="33"/>
          </w:tcPr>
          <w:p w:rsidR="00076E84" w:rsidRPr="00BE576B" w:rsidRDefault="00076E84" w:rsidP="00CF6359">
            <w:pPr>
              <w:jc w:val="center"/>
              <w:rPr>
                <w:sz w:val="16"/>
                <w:szCs w:val="16"/>
              </w:rPr>
            </w:pPr>
            <w:r>
              <w:rPr>
                <w:sz w:val="16"/>
                <w:szCs w:val="16"/>
              </w:rPr>
              <w:t>4=3-2</w:t>
            </w:r>
          </w:p>
        </w:tc>
      </w:tr>
      <w:tr w:rsidR="00076E84" w:rsidRPr="007A6B66" w:rsidTr="00CF6359">
        <w:trPr>
          <w:jc w:val="center"/>
        </w:trPr>
        <w:tc>
          <w:tcPr>
            <w:tcW w:w="4580" w:type="dxa"/>
          </w:tcPr>
          <w:p w:rsidR="00076E84" w:rsidRPr="007A6B66" w:rsidRDefault="00076E84" w:rsidP="00CF6359">
            <w:r w:rsidRPr="007A6B66">
              <w:t>Povrat za povredu službene dužnosti</w:t>
            </w:r>
          </w:p>
        </w:tc>
        <w:tc>
          <w:tcPr>
            <w:tcW w:w="1379" w:type="dxa"/>
          </w:tcPr>
          <w:p w:rsidR="00076E84" w:rsidRPr="00C82574" w:rsidRDefault="00076E84" w:rsidP="00CF6359">
            <w:pPr>
              <w:jc w:val="right"/>
            </w:pPr>
            <w:r w:rsidRPr="00C82574">
              <w:t>79.211</w:t>
            </w:r>
          </w:p>
        </w:tc>
        <w:tc>
          <w:tcPr>
            <w:tcW w:w="1115" w:type="dxa"/>
          </w:tcPr>
          <w:p w:rsidR="00076E84" w:rsidRPr="00012A7B" w:rsidRDefault="00076E84" w:rsidP="00CF6359">
            <w:pPr>
              <w:jc w:val="right"/>
            </w:pPr>
            <w:r w:rsidRPr="00012A7B">
              <w:t>79.211</w:t>
            </w:r>
          </w:p>
        </w:tc>
        <w:tc>
          <w:tcPr>
            <w:tcW w:w="1216" w:type="dxa"/>
          </w:tcPr>
          <w:p w:rsidR="00076E84" w:rsidRPr="007A6B66" w:rsidRDefault="00076E84" w:rsidP="00CF6359">
            <w:pPr>
              <w:jc w:val="right"/>
            </w:pPr>
            <w:r>
              <w:t>0</w:t>
            </w:r>
          </w:p>
        </w:tc>
      </w:tr>
      <w:tr w:rsidR="00076E84" w:rsidRPr="007A6B66" w:rsidTr="00CF6359">
        <w:trPr>
          <w:jc w:val="center"/>
        </w:trPr>
        <w:tc>
          <w:tcPr>
            <w:tcW w:w="4580" w:type="dxa"/>
          </w:tcPr>
          <w:p w:rsidR="00076E84" w:rsidRPr="007A6B66" w:rsidRDefault="00076E84" w:rsidP="00CF6359">
            <w:r w:rsidRPr="007A6B66">
              <w:t>Drvo Sertić d.o.o.</w:t>
            </w:r>
          </w:p>
        </w:tc>
        <w:tc>
          <w:tcPr>
            <w:tcW w:w="1379" w:type="dxa"/>
          </w:tcPr>
          <w:p w:rsidR="00076E84" w:rsidRPr="00C82574" w:rsidRDefault="00076E84" w:rsidP="00CF6359">
            <w:pPr>
              <w:jc w:val="right"/>
            </w:pPr>
            <w:r w:rsidRPr="00C82574">
              <w:t>54.231</w:t>
            </w:r>
          </w:p>
        </w:tc>
        <w:tc>
          <w:tcPr>
            <w:tcW w:w="1115" w:type="dxa"/>
          </w:tcPr>
          <w:p w:rsidR="00076E84" w:rsidRPr="00012A7B" w:rsidRDefault="00076E84" w:rsidP="00CF6359">
            <w:pPr>
              <w:jc w:val="right"/>
            </w:pPr>
            <w:r w:rsidRPr="00012A7B">
              <w:t>54.231</w:t>
            </w:r>
          </w:p>
        </w:tc>
        <w:tc>
          <w:tcPr>
            <w:tcW w:w="1216" w:type="dxa"/>
          </w:tcPr>
          <w:p w:rsidR="00076E84" w:rsidRPr="007A6B66" w:rsidRDefault="00076E84" w:rsidP="00CF6359">
            <w:pPr>
              <w:jc w:val="right"/>
            </w:pPr>
            <w:r>
              <w:t>0</w:t>
            </w:r>
          </w:p>
        </w:tc>
      </w:tr>
      <w:tr w:rsidR="00076E84" w:rsidRPr="007A6B66" w:rsidTr="00CF6359">
        <w:trPr>
          <w:jc w:val="center"/>
        </w:trPr>
        <w:tc>
          <w:tcPr>
            <w:tcW w:w="4580" w:type="dxa"/>
          </w:tcPr>
          <w:p w:rsidR="00076E84" w:rsidRPr="007A6B66" w:rsidRDefault="00076E84" w:rsidP="00CF6359">
            <w:r w:rsidRPr="007A6B66">
              <w:t>SANK d.o.o.</w:t>
            </w:r>
          </w:p>
        </w:tc>
        <w:tc>
          <w:tcPr>
            <w:tcW w:w="1379" w:type="dxa"/>
          </w:tcPr>
          <w:p w:rsidR="00076E84" w:rsidRPr="00C82574" w:rsidRDefault="00076E84" w:rsidP="00CF6359">
            <w:pPr>
              <w:jc w:val="right"/>
            </w:pPr>
            <w:r w:rsidRPr="00C82574">
              <w:t>5.498</w:t>
            </w:r>
          </w:p>
        </w:tc>
        <w:tc>
          <w:tcPr>
            <w:tcW w:w="1115" w:type="dxa"/>
          </w:tcPr>
          <w:p w:rsidR="00076E84" w:rsidRDefault="00076E84" w:rsidP="00CF6359">
            <w:pPr>
              <w:jc w:val="right"/>
            </w:pPr>
            <w:r w:rsidRPr="00012A7B">
              <w:t>5.498</w:t>
            </w:r>
          </w:p>
        </w:tc>
        <w:tc>
          <w:tcPr>
            <w:tcW w:w="1216" w:type="dxa"/>
          </w:tcPr>
          <w:p w:rsidR="00076E84" w:rsidRPr="007A6B66" w:rsidRDefault="00076E84" w:rsidP="00CF6359">
            <w:pPr>
              <w:jc w:val="right"/>
            </w:pPr>
            <w:r>
              <w:t>0</w:t>
            </w:r>
          </w:p>
        </w:tc>
      </w:tr>
      <w:tr w:rsidR="00076E84" w:rsidRPr="007A6B66" w:rsidTr="00CF6359">
        <w:trPr>
          <w:jc w:val="center"/>
        </w:trPr>
        <w:tc>
          <w:tcPr>
            <w:tcW w:w="4580" w:type="dxa"/>
          </w:tcPr>
          <w:p w:rsidR="00076E84" w:rsidRPr="007A6B66" w:rsidRDefault="00076E84" w:rsidP="00CF6359">
            <w:r w:rsidRPr="007A6B66">
              <w:t>Sv. Rita – Dom za psihički bolesne odrasle osobe</w:t>
            </w:r>
          </w:p>
        </w:tc>
        <w:tc>
          <w:tcPr>
            <w:tcW w:w="1379" w:type="dxa"/>
          </w:tcPr>
          <w:p w:rsidR="00076E84" w:rsidRPr="00C82574" w:rsidRDefault="00076E84" w:rsidP="00CF6359">
            <w:pPr>
              <w:jc w:val="right"/>
            </w:pPr>
            <w:r w:rsidRPr="00C82574">
              <w:t>112.420</w:t>
            </w:r>
          </w:p>
        </w:tc>
        <w:tc>
          <w:tcPr>
            <w:tcW w:w="1115" w:type="dxa"/>
          </w:tcPr>
          <w:p w:rsidR="00076E84" w:rsidRDefault="00076E84" w:rsidP="00CF6359">
            <w:pPr>
              <w:jc w:val="right"/>
            </w:pPr>
            <w:r>
              <w:t>112.420</w:t>
            </w:r>
          </w:p>
        </w:tc>
        <w:tc>
          <w:tcPr>
            <w:tcW w:w="1216" w:type="dxa"/>
          </w:tcPr>
          <w:p w:rsidR="00076E84" w:rsidRPr="007A6B66" w:rsidRDefault="00076E84" w:rsidP="00CF6359">
            <w:pPr>
              <w:jc w:val="right"/>
            </w:pPr>
            <w:r>
              <w:t>0</w:t>
            </w:r>
          </w:p>
        </w:tc>
      </w:tr>
      <w:tr w:rsidR="00076E84" w:rsidTr="00CF6359">
        <w:trPr>
          <w:jc w:val="center"/>
        </w:trPr>
        <w:tc>
          <w:tcPr>
            <w:tcW w:w="4580" w:type="dxa"/>
          </w:tcPr>
          <w:p w:rsidR="00076E84" w:rsidRDefault="00076E84" w:rsidP="00CF6359">
            <w:r>
              <w:t>Ostali prihodi</w:t>
            </w:r>
          </w:p>
        </w:tc>
        <w:tc>
          <w:tcPr>
            <w:tcW w:w="1379" w:type="dxa"/>
          </w:tcPr>
          <w:p w:rsidR="00076E84" w:rsidRPr="00C82574" w:rsidRDefault="00076E84" w:rsidP="00CF6359">
            <w:pPr>
              <w:jc w:val="right"/>
            </w:pPr>
            <w:r w:rsidRPr="00C82574">
              <w:t>369.187</w:t>
            </w:r>
          </w:p>
        </w:tc>
        <w:tc>
          <w:tcPr>
            <w:tcW w:w="1115" w:type="dxa"/>
          </w:tcPr>
          <w:p w:rsidR="00076E84" w:rsidRDefault="00076E84" w:rsidP="00CF6359">
            <w:pPr>
              <w:jc w:val="right"/>
            </w:pPr>
            <w:r>
              <w:t>494.441</w:t>
            </w:r>
          </w:p>
        </w:tc>
        <w:tc>
          <w:tcPr>
            <w:tcW w:w="1216" w:type="dxa"/>
          </w:tcPr>
          <w:p w:rsidR="00076E84" w:rsidRDefault="00076E84" w:rsidP="00CF6359">
            <w:pPr>
              <w:jc w:val="right"/>
            </w:pPr>
            <w:r>
              <w:t>125.254</w:t>
            </w:r>
          </w:p>
        </w:tc>
      </w:tr>
      <w:tr w:rsidR="00076E84" w:rsidRPr="000666C2" w:rsidTr="00CF6359">
        <w:trPr>
          <w:jc w:val="center"/>
        </w:trPr>
        <w:tc>
          <w:tcPr>
            <w:tcW w:w="4580" w:type="dxa"/>
          </w:tcPr>
          <w:p w:rsidR="00076E84" w:rsidRPr="000666C2" w:rsidRDefault="00076E84" w:rsidP="00CF6359">
            <w:r>
              <w:t>Povrat režijskih troškova</w:t>
            </w:r>
          </w:p>
        </w:tc>
        <w:tc>
          <w:tcPr>
            <w:tcW w:w="1379" w:type="dxa"/>
          </w:tcPr>
          <w:p w:rsidR="00076E84" w:rsidRPr="00C82574" w:rsidRDefault="00076E84" w:rsidP="00CF6359">
            <w:pPr>
              <w:jc w:val="right"/>
            </w:pPr>
            <w:r w:rsidRPr="00C82574">
              <w:t>4.626.042</w:t>
            </w:r>
          </w:p>
        </w:tc>
        <w:tc>
          <w:tcPr>
            <w:tcW w:w="1115" w:type="dxa"/>
          </w:tcPr>
          <w:p w:rsidR="00076E84" w:rsidRDefault="00076E84" w:rsidP="00CF6359">
            <w:pPr>
              <w:jc w:val="right"/>
            </w:pPr>
            <w:r>
              <w:t>4.153.088</w:t>
            </w:r>
          </w:p>
        </w:tc>
        <w:tc>
          <w:tcPr>
            <w:tcW w:w="1216" w:type="dxa"/>
          </w:tcPr>
          <w:p w:rsidR="00076E84" w:rsidRDefault="00076E84" w:rsidP="00CF6359">
            <w:pPr>
              <w:jc w:val="right"/>
            </w:pPr>
            <w:r>
              <w:t>-472.954</w:t>
            </w:r>
          </w:p>
        </w:tc>
      </w:tr>
      <w:tr w:rsidR="00076E84" w:rsidRPr="000666C2" w:rsidTr="00CF6359">
        <w:trPr>
          <w:jc w:val="center"/>
        </w:trPr>
        <w:tc>
          <w:tcPr>
            <w:tcW w:w="4580" w:type="dxa"/>
          </w:tcPr>
          <w:p w:rsidR="00076E84" w:rsidRPr="000666C2" w:rsidRDefault="00076E84" w:rsidP="00CF6359">
            <w:r>
              <w:t>Prihodi od otkupa električne energije</w:t>
            </w:r>
          </w:p>
        </w:tc>
        <w:tc>
          <w:tcPr>
            <w:tcW w:w="1379" w:type="dxa"/>
          </w:tcPr>
          <w:p w:rsidR="00076E84" w:rsidRPr="00C82574" w:rsidRDefault="00076E84" w:rsidP="00CF6359">
            <w:pPr>
              <w:jc w:val="right"/>
            </w:pPr>
            <w:r w:rsidRPr="00C82574">
              <w:t>5.850</w:t>
            </w:r>
          </w:p>
        </w:tc>
        <w:tc>
          <w:tcPr>
            <w:tcW w:w="1115" w:type="dxa"/>
          </w:tcPr>
          <w:p w:rsidR="00076E84" w:rsidRDefault="00076E84" w:rsidP="00CF6359">
            <w:pPr>
              <w:jc w:val="right"/>
            </w:pPr>
            <w:r>
              <w:t>5.029</w:t>
            </w:r>
          </w:p>
        </w:tc>
        <w:tc>
          <w:tcPr>
            <w:tcW w:w="1216" w:type="dxa"/>
          </w:tcPr>
          <w:p w:rsidR="00076E84" w:rsidRDefault="00076E84" w:rsidP="00CF6359">
            <w:pPr>
              <w:jc w:val="right"/>
            </w:pPr>
            <w:r>
              <w:t>-821</w:t>
            </w:r>
          </w:p>
        </w:tc>
      </w:tr>
      <w:tr w:rsidR="00076E84" w:rsidRPr="00A72FBA" w:rsidTr="00CF6359">
        <w:trPr>
          <w:jc w:val="center"/>
        </w:trPr>
        <w:tc>
          <w:tcPr>
            <w:tcW w:w="4580" w:type="dxa"/>
          </w:tcPr>
          <w:p w:rsidR="00076E84" w:rsidRPr="00A72FBA" w:rsidRDefault="00076E84" w:rsidP="00CF6359">
            <w:pPr>
              <w:rPr>
                <w:b/>
              </w:rPr>
            </w:pPr>
            <w:r>
              <w:rPr>
                <w:b/>
              </w:rPr>
              <w:t>UKUPNO</w:t>
            </w:r>
          </w:p>
        </w:tc>
        <w:tc>
          <w:tcPr>
            <w:tcW w:w="1379" w:type="dxa"/>
          </w:tcPr>
          <w:p w:rsidR="00076E84" w:rsidRDefault="00076E84" w:rsidP="00CF6359">
            <w:pPr>
              <w:jc w:val="right"/>
            </w:pPr>
            <w:r w:rsidRPr="00C82574">
              <w:t>5.252.439</w:t>
            </w:r>
          </w:p>
        </w:tc>
        <w:tc>
          <w:tcPr>
            <w:tcW w:w="1115" w:type="dxa"/>
          </w:tcPr>
          <w:p w:rsidR="00076E84" w:rsidRPr="00A36D92" w:rsidRDefault="00076E84" w:rsidP="00CF6359">
            <w:pPr>
              <w:jc w:val="right"/>
            </w:pPr>
            <w:r w:rsidRPr="00A36D92">
              <w:t>4.</w:t>
            </w:r>
            <w:r>
              <w:t>903.917</w:t>
            </w:r>
          </w:p>
        </w:tc>
        <w:tc>
          <w:tcPr>
            <w:tcW w:w="1216" w:type="dxa"/>
          </w:tcPr>
          <w:p w:rsidR="00076E84" w:rsidRPr="00A36D92" w:rsidRDefault="00076E84" w:rsidP="00CF6359">
            <w:pPr>
              <w:jc w:val="right"/>
            </w:pPr>
            <w:r>
              <w:t>-348.522</w:t>
            </w:r>
          </w:p>
        </w:tc>
      </w:tr>
    </w:tbl>
    <w:p w:rsidR="00076E84" w:rsidRDefault="00076E84" w:rsidP="00076E84">
      <w:pPr>
        <w:spacing w:after="0"/>
        <w:rPr>
          <w:b/>
        </w:rPr>
      </w:pPr>
    </w:p>
    <w:p w:rsidR="00076E84" w:rsidRDefault="00076E84" w:rsidP="00076E84">
      <w:r w:rsidRPr="00505402">
        <w:rPr>
          <w:b/>
        </w:rPr>
        <w:t xml:space="preserve">Bilješka br. </w:t>
      </w:r>
      <w:r>
        <w:rPr>
          <w:b/>
        </w:rPr>
        <w:t>24</w:t>
      </w:r>
      <w:r>
        <w:t xml:space="preserve"> – AOP 156 Ispravak vrijednosti potraživanja</w:t>
      </w:r>
    </w:p>
    <w:p w:rsidR="00076E84" w:rsidRPr="00F10188" w:rsidRDefault="00076E84" w:rsidP="00076E84">
      <w:pPr>
        <w:spacing w:after="0" w:line="240" w:lineRule="auto"/>
        <w:jc w:val="both"/>
        <w:rPr>
          <w:rFonts w:eastAsia="Times New Roman" w:cstheme="minorHAnsi"/>
          <w:lang w:eastAsia="hr-HR"/>
        </w:rPr>
      </w:pPr>
      <w:r>
        <w:rPr>
          <w:rFonts w:eastAsia="Times New Roman" w:cstheme="minorHAnsi"/>
          <w:lang w:eastAsia="hr-HR"/>
        </w:rPr>
        <w:t>S</w:t>
      </w:r>
      <w:r w:rsidRPr="008B5300">
        <w:rPr>
          <w:rFonts w:eastAsia="Times New Roman" w:cstheme="minorHAnsi"/>
          <w:lang w:eastAsia="hr-HR"/>
        </w:rPr>
        <w:t xml:space="preserve">ukladno </w:t>
      </w:r>
      <w:r>
        <w:rPr>
          <w:rFonts w:eastAsia="Times New Roman" w:cstheme="minorHAnsi"/>
          <w:lang w:eastAsia="hr-HR"/>
        </w:rPr>
        <w:t>članku 37.a Pravilnika</w:t>
      </w:r>
      <w:r w:rsidRPr="008B5300">
        <w:rPr>
          <w:rFonts w:eastAsia="Times New Roman" w:cstheme="minorHAnsi"/>
          <w:lang w:eastAsia="hr-HR"/>
        </w:rPr>
        <w:t xml:space="preserve"> o proračunskom računovodstvu i računskom planu</w:t>
      </w:r>
      <w:r>
        <w:rPr>
          <w:rFonts w:eastAsia="Times New Roman" w:cstheme="minorHAnsi"/>
          <w:lang w:eastAsia="hr-HR"/>
        </w:rPr>
        <w:t xml:space="preserve"> proveden je ispravak vrijednosti potraživanja na kraju godine u iznosu od 492.227.114 kn</w:t>
      </w:r>
      <w:r w:rsidRPr="008B5300">
        <w:rPr>
          <w:rFonts w:eastAsia="Times New Roman" w:cstheme="minorHAnsi"/>
          <w:lang w:eastAsia="hr-HR"/>
        </w:rPr>
        <w:t xml:space="preserve">. </w:t>
      </w:r>
    </w:p>
    <w:p w:rsidR="00076E84" w:rsidRDefault="00076E84" w:rsidP="00076E84">
      <w:pPr>
        <w:spacing w:after="0"/>
        <w:rPr>
          <w:b/>
        </w:rPr>
      </w:pPr>
    </w:p>
    <w:p w:rsidR="00076E84" w:rsidRDefault="00076E84" w:rsidP="00076E84">
      <w:r>
        <w:rPr>
          <w:b/>
        </w:rPr>
        <w:t>Bilješka br. 25</w:t>
      </w:r>
      <w:r>
        <w:t xml:space="preserve"> – AOP 157 </w:t>
      </w:r>
      <w:r w:rsidRPr="00304000">
        <w:t>Potraživanja od prodaje nefinancijske imovine</w:t>
      </w:r>
    </w:p>
    <w:p w:rsidR="00076E84" w:rsidRPr="00304000" w:rsidRDefault="00076E84" w:rsidP="00076E84">
      <w:pPr>
        <w:jc w:val="both"/>
      </w:pPr>
      <w:r>
        <w:t>U 2018. godini iskazano je 243.400.459 kuna potraživanja od prodaje nefinancijske imovine što je manje za 30% manje u odnosu na prethodnu godinu. Ujedno je proveden i ispravak vrijednosti sukladno članku 37.a Pravilnika u iznosu od 122.569.924 kuna te iskazani iznos na AOP 157 potraživanja od prodaje nefinancijske imovine iznosi 120.830.536 kuna što je manje za 65% u odnosu na 2017. godinu.</w:t>
      </w:r>
    </w:p>
    <w:tbl>
      <w:tblPr>
        <w:tblStyle w:val="TableGrid"/>
        <w:tblW w:w="4910" w:type="pct"/>
        <w:jc w:val="center"/>
        <w:tblLook w:val="04A0" w:firstRow="1" w:lastRow="0" w:firstColumn="1" w:lastColumn="0" w:noHBand="0" w:noVBand="1"/>
      </w:tblPr>
      <w:tblGrid>
        <w:gridCol w:w="617"/>
        <w:gridCol w:w="4133"/>
        <w:gridCol w:w="1462"/>
        <w:gridCol w:w="1436"/>
        <w:gridCol w:w="1473"/>
      </w:tblGrid>
      <w:tr w:rsidR="00076E84" w:rsidTr="00CF6359">
        <w:trPr>
          <w:trHeight w:val="488"/>
          <w:jc w:val="center"/>
        </w:trPr>
        <w:tc>
          <w:tcPr>
            <w:tcW w:w="287" w:type="pct"/>
            <w:tcBorders>
              <w:bottom w:val="single" w:sz="4" w:space="0" w:color="auto"/>
            </w:tcBorders>
            <w:shd w:val="clear" w:color="auto" w:fill="DEEAF6" w:themeFill="accent1" w:themeFillTint="33"/>
          </w:tcPr>
          <w:p w:rsidR="00076E84" w:rsidRDefault="00076E84" w:rsidP="00CF6359">
            <w:pPr>
              <w:jc w:val="center"/>
            </w:pPr>
            <w:r>
              <w:t>Red.</w:t>
            </w:r>
          </w:p>
          <w:p w:rsidR="00076E84" w:rsidRDefault="00076E84" w:rsidP="00CF6359">
            <w:pPr>
              <w:jc w:val="center"/>
            </w:pPr>
            <w:r>
              <w:t>Br.</w:t>
            </w:r>
          </w:p>
        </w:tc>
        <w:tc>
          <w:tcPr>
            <w:tcW w:w="2279" w:type="pct"/>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814" w:type="pct"/>
            <w:tcBorders>
              <w:bottom w:val="single" w:sz="4" w:space="0" w:color="auto"/>
            </w:tcBorders>
            <w:shd w:val="clear" w:color="auto" w:fill="DEEAF6" w:themeFill="accent1" w:themeFillTint="33"/>
          </w:tcPr>
          <w:p w:rsidR="00076E84" w:rsidRPr="005D7B94" w:rsidRDefault="00076E84" w:rsidP="00CF6359">
            <w:pPr>
              <w:jc w:val="center"/>
            </w:pPr>
            <w:r w:rsidRPr="005D7B94">
              <w:t>Stanje 01.01.1</w:t>
            </w:r>
            <w:r>
              <w:t>8</w:t>
            </w:r>
            <w:r w:rsidRPr="005D7B94">
              <w:t>.</w:t>
            </w:r>
          </w:p>
        </w:tc>
        <w:tc>
          <w:tcPr>
            <w:tcW w:w="800" w:type="pct"/>
            <w:tcBorders>
              <w:bottom w:val="single" w:sz="4" w:space="0" w:color="auto"/>
            </w:tcBorders>
            <w:shd w:val="clear" w:color="auto" w:fill="DEEAF6" w:themeFill="accent1" w:themeFillTint="33"/>
          </w:tcPr>
          <w:p w:rsidR="00076E84" w:rsidRPr="005D7B94" w:rsidRDefault="00076E84" w:rsidP="00CF6359">
            <w:pPr>
              <w:jc w:val="center"/>
            </w:pPr>
            <w:r w:rsidRPr="005D7B94">
              <w:t>Stanje 31.12.1</w:t>
            </w:r>
            <w:r>
              <w:t>8</w:t>
            </w:r>
            <w:r w:rsidRPr="005D7B94">
              <w:t>.</w:t>
            </w:r>
          </w:p>
        </w:tc>
        <w:tc>
          <w:tcPr>
            <w:tcW w:w="820" w:type="pct"/>
            <w:tcBorders>
              <w:bottom w:val="single" w:sz="4" w:space="0" w:color="auto"/>
            </w:tcBorders>
            <w:shd w:val="clear" w:color="auto" w:fill="DEEAF6" w:themeFill="accent1" w:themeFillTint="33"/>
          </w:tcPr>
          <w:p w:rsidR="00076E84" w:rsidRDefault="00076E84" w:rsidP="00CF6359">
            <w:pPr>
              <w:jc w:val="center"/>
            </w:pPr>
            <w:r w:rsidRPr="005D7B94">
              <w:t>Povećanje/ Smanjenje</w:t>
            </w:r>
          </w:p>
        </w:tc>
      </w:tr>
      <w:tr w:rsidR="00076E84" w:rsidRPr="00BE576B" w:rsidTr="00CF6359">
        <w:trPr>
          <w:trHeight w:val="112"/>
          <w:jc w:val="center"/>
        </w:trPr>
        <w:tc>
          <w:tcPr>
            <w:tcW w:w="287" w:type="pct"/>
            <w:shd w:val="clear" w:color="auto" w:fill="DEEAF6" w:themeFill="accent1" w:themeFillTint="33"/>
          </w:tcPr>
          <w:p w:rsidR="00076E84" w:rsidRDefault="00076E84" w:rsidP="00CF6359">
            <w:pPr>
              <w:jc w:val="center"/>
              <w:rPr>
                <w:sz w:val="16"/>
                <w:szCs w:val="16"/>
              </w:rPr>
            </w:pPr>
          </w:p>
        </w:tc>
        <w:tc>
          <w:tcPr>
            <w:tcW w:w="2279" w:type="pct"/>
            <w:shd w:val="clear" w:color="auto" w:fill="DEEAF6" w:themeFill="accent1" w:themeFillTint="33"/>
          </w:tcPr>
          <w:p w:rsidR="00076E84" w:rsidRPr="00BE576B" w:rsidRDefault="00076E84" w:rsidP="00CF6359">
            <w:pPr>
              <w:jc w:val="center"/>
              <w:rPr>
                <w:sz w:val="16"/>
                <w:szCs w:val="16"/>
              </w:rPr>
            </w:pPr>
            <w:r>
              <w:rPr>
                <w:sz w:val="16"/>
                <w:szCs w:val="16"/>
              </w:rPr>
              <w:t>1</w:t>
            </w:r>
          </w:p>
        </w:tc>
        <w:tc>
          <w:tcPr>
            <w:tcW w:w="814" w:type="pct"/>
            <w:shd w:val="clear" w:color="auto" w:fill="DEEAF6" w:themeFill="accent1" w:themeFillTint="33"/>
          </w:tcPr>
          <w:p w:rsidR="00076E84" w:rsidRPr="00BE576B" w:rsidRDefault="00076E84" w:rsidP="00CF6359">
            <w:pPr>
              <w:jc w:val="center"/>
              <w:rPr>
                <w:sz w:val="16"/>
                <w:szCs w:val="16"/>
              </w:rPr>
            </w:pPr>
            <w:r>
              <w:rPr>
                <w:sz w:val="16"/>
                <w:szCs w:val="16"/>
              </w:rPr>
              <w:t>2</w:t>
            </w:r>
          </w:p>
        </w:tc>
        <w:tc>
          <w:tcPr>
            <w:tcW w:w="800" w:type="pct"/>
            <w:shd w:val="clear" w:color="auto" w:fill="DEEAF6" w:themeFill="accent1" w:themeFillTint="33"/>
          </w:tcPr>
          <w:p w:rsidR="00076E84" w:rsidRPr="00BE576B" w:rsidRDefault="00076E84" w:rsidP="00CF6359">
            <w:pPr>
              <w:jc w:val="center"/>
              <w:rPr>
                <w:sz w:val="16"/>
                <w:szCs w:val="16"/>
              </w:rPr>
            </w:pPr>
            <w:r>
              <w:rPr>
                <w:sz w:val="16"/>
                <w:szCs w:val="16"/>
              </w:rPr>
              <w:t>3</w:t>
            </w:r>
          </w:p>
        </w:tc>
        <w:tc>
          <w:tcPr>
            <w:tcW w:w="820" w:type="pct"/>
            <w:shd w:val="clear" w:color="auto" w:fill="DEEAF6" w:themeFill="accent1" w:themeFillTint="33"/>
          </w:tcPr>
          <w:p w:rsidR="00076E84" w:rsidRPr="00BE576B" w:rsidRDefault="00076E84" w:rsidP="00CF6359">
            <w:pPr>
              <w:jc w:val="center"/>
              <w:rPr>
                <w:sz w:val="16"/>
                <w:szCs w:val="16"/>
              </w:rPr>
            </w:pPr>
            <w:r>
              <w:rPr>
                <w:sz w:val="16"/>
                <w:szCs w:val="16"/>
              </w:rPr>
              <w:t>4=3-2</w:t>
            </w:r>
          </w:p>
        </w:tc>
      </w:tr>
      <w:tr w:rsidR="00076E84" w:rsidRPr="007A6B66" w:rsidTr="00CF6359">
        <w:trPr>
          <w:jc w:val="center"/>
        </w:trPr>
        <w:tc>
          <w:tcPr>
            <w:tcW w:w="287" w:type="pct"/>
          </w:tcPr>
          <w:p w:rsidR="00076E84" w:rsidRPr="007A6B66" w:rsidRDefault="00076E84" w:rsidP="00CF6359">
            <w:r>
              <w:t>1.</w:t>
            </w:r>
          </w:p>
        </w:tc>
        <w:tc>
          <w:tcPr>
            <w:tcW w:w="2279" w:type="pct"/>
          </w:tcPr>
          <w:p w:rsidR="00076E84" w:rsidRPr="007A6B66" w:rsidRDefault="00076E84" w:rsidP="00CF6359">
            <w:r w:rsidRPr="007A6B66">
              <w:t>Munja d.d.</w:t>
            </w:r>
          </w:p>
        </w:tc>
        <w:tc>
          <w:tcPr>
            <w:tcW w:w="814" w:type="pct"/>
          </w:tcPr>
          <w:p w:rsidR="00076E84" w:rsidRPr="00836AF0" w:rsidRDefault="00076E84" w:rsidP="00CF6359">
            <w:pPr>
              <w:jc w:val="right"/>
            </w:pPr>
            <w:r w:rsidRPr="00836AF0">
              <w:t>1.173.184</w:t>
            </w:r>
          </w:p>
        </w:tc>
        <w:tc>
          <w:tcPr>
            <w:tcW w:w="800" w:type="pct"/>
          </w:tcPr>
          <w:p w:rsidR="00076E84" w:rsidRPr="007A6B66" w:rsidRDefault="00076E84" w:rsidP="00CF6359">
            <w:pPr>
              <w:jc w:val="right"/>
            </w:pPr>
            <w:r w:rsidRPr="001F01AF">
              <w:t>1.173.184</w:t>
            </w:r>
          </w:p>
        </w:tc>
        <w:tc>
          <w:tcPr>
            <w:tcW w:w="820" w:type="pct"/>
          </w:tcPr>
          <w:p w:rsidR="00076E84" w:rsidRPr="007A6B66" w:rsidRDefault="00076E84" w:rsidP="00CF6359">
            <w:pPr>
              <w:jc w:val="right"/>
            </w:pPr>
            <w:r>
              <w:t>0</w:t>
            </w:r>
          </w:p>
        </w:tc>
      </w:tr>
      <w:tr w:rsidR="00076E84" w:rsidRPr="007A6B66" w:rsidTr="00CF6359">
        <w:trPr>
          <w:jc w:val="center"/>
        </w:trPr>
        <w:tc>
          <w:tcPr>
            <w:tcW w:w="287" w:type="pct"/>
            <w:vAlign w:val="center"/>
          </w:tcPr>
          <w:p w:rsidR="00076E84" w:rsidRPr="007A6B66" w:rsidRDefault="00076E84" w:rsidP="00CF6359">
            <w:r>
              <w:t>2.</w:t>
            </w:r>
          </w:p>
        </w:tc>
        <w:tc>
          <w:tcPr>
            <w:tcW w:w="2279" w:type="pct"/>
          </w:tcPr>
          <w:p w:rsidR="00076E84" w:rsidRPr="007A6B66" w:rsidRDefault="00076E84" w:rsidP="00CF6359">
            <w:r w:rsidRPr="007A6B66">
              <w:t>Preostala potraživanja prema ukupno zaključenim ugovorima o otkupu stanova</w:t>
            </w:r>
          </w:p>
        </w:tc>
        <w:tc>
          <w:tcPr>
            <w:tcW w:w="814" w:type="pct"/>
            <w:vAlign w:val="center"/>
          </w:tcPr>
          <w:p w:rsidR="00076E84" w:rsidRPr="00836AF0" w:rsidRDefault="00076E84" w:rsidP="00CF6359">
            <w:pPr>
              <w:jc w:val="right"/>
            </w:pPr>
            <w:r w:rsidRPr="00836AF0">
              <w:t>83.861.768</w:t>
            </w:r>
          </w:p>
        </w:tc>
        <w:tc>
          <w:tcPr>
            <w:tcW w:w="800" w:type="pct"/>
            <w:vAlign w:val="center"/>
          </w:tcPr>
          <w:p w:rsidR="00076E84" w:rsidRPr="007A6B66" w:rsidRDefault="00076E84" w:rsidP="00CF6359">
            <w:pPr>
              <w:jc w:val="right"/>
            </w:pPr>
            <w:r>
              <w:t>62.034.978</w:t>
            </w:r>
          </w:p>
        </w:tc>
        <w:tc>
          <w:tcPr>
            <w:tcW w:w="820" w:type="pct"/>
            <w:vAlign w:val="center"/>
          </w:tcPr>
          <w:p w:rsidR="00076E84" w:rsidRPr="007A6B66" w:rsidRDefault="00076E84" w:rsidP="00CF6359">
            <w:pPr>
              <w:jc w:val="right"/>
            </w:pPr>
            <w:r>
              <w:t>-21.826.790</w:t>
            </w:r>
          </w:p>
        </w:tc>
      </w:tr>
      <w:tr w:rsidR="00076E84" w:rsidRPr="007A6B66" w:rsidTr="00CF6359">
        <w:trPr>
          <w:jc w:val="center"/>
        </w:trPr>
        <w:tc>
          <w:tcPr>
            <w:tcW w:w="287" w:type="pct"/>
            <w:vAlign w:val="center"/>
          </w:tcPr>
          <w:p w:rsidR="00076E84" w:rsidRPr="007A6B66" w:rsidRDefault="00076E84" w:rsidP="00CF6359">
            <w:r>
              <w:t>3.</w:t>
            </w:r>
          </w:p>
        </w:tc>
        <w:tc>
          <w:tcPr>
            <w:tcW w:w="2279" w:type="pct"/>
          </w:tcPr>
          <w:p w:rsidR="00076E84" w:rsidRPr="007A6B66" w:rsidRDefault="00076E84" w:rsidP="00CF6359">
            <w:r w:rsidRPr="007A6B66">
              <w:t>Prodaja zemljišta</w:t>
            </w:r>
          </w:p>
        </w:tc>
        <w:tc>
          <w:tcPr>
            <w:tcW w:w="814" w:type="pct"/>
          </w:tcPr>
          <w:p w:rsidR="00076E84" w:rsidRPr="00836AF0" w:rsidRDefault="00076E84" w:rsidP="00CF6359">
            <w:pPr>
              <w:jc w:val="right"/>
            </w:pPr>
            <w:r w:rsidRPr="00836AF0">
              <w:t>239.256.567</w:t>
            </w:r>
          </w:p>
        </w:tc>
        <w:tc>
          <w:tcPr>
            <w:tcW w:w="800" w:type="pct"/>
          </w:tcPr>
          <w:p w:rsidR="00076E84" w:rsidRPr="007A6B66" w:rsidRDefault="00076E84" w:rsidP="00CF6359">
            <w:pPr>
              <w:jc w:val="right"/>
            </w:pPr>
            <w:r>
              <w:t>154.728.015</w:t>
            </w:r>
          </w:p>
        </w:tc>
        <w:tc>
          <w:tcPr>
            <w:tcW w:w="820" w:type="pct"/>
          </w:tcPr>
          <w:p w:rsidR="00076E84" w:rsidRPr="007A6B66" w:rsidRDefault="00076E84" w:rsidP="00CF6359">
            <w:pPr>
              <w:jc w:val="right"/>
            </w:pPr>
            <w:r>
              <w:t>-84.528.552</w:t>
            </w:r>
          </w:p>
        </w:tc>
      </w:tr>
      <w:tr w:rsidR="00076E84" w:rsidRPr="00304000" w:rsidTr="00CF6359">
        <w:trPr>
          <w:jc w:val="center"/>
        </w:trPr>
        <w:tc>
          <w:tcPr>
            <w:tcW w:w="287" w:type="pct"/>
            <w:vAlign w:val="center"/>
          </w:tcPr>
          <w:p w:rsidR="00076E84" w:rsidRDefault="00076E84" w:rsidP="00CF6359">
            <w:r>
              <w:t>4.</w:t>
            </w:r>
          </w:p>
        </w:tc>
        <w:tc>
          <w:tcPr>
            <w:tcW w:w="2279" w:type="pct"/>
          </w:tcPr>
          <w:p w:rsidR="00076E84" w:rsidRPr="00304000" w:rsidRDefault="00076E84" w:rsidP="00CF6359">
            <w:r>
              <w:t>Ugovori o pravu građenja</w:t>
            </w:r>
          </w:p>
        </w:tc>
        <w:tc>
          <w:tcPr>
            <w:tcW w:w="814" w:type="pct"/>
          </w:tcPr>
          <w:p w:rsidR="00076E84" w:rsidRPr="00836AF0" w:rsidRDefault="00076E84" w:rsidP="00CF6359">
            <w:pPr>
              <w:jc w:val="right"/>
            </w:pPr>
            <w:r w:rsidRPr="00836AF0">
              <w:t>24.451.029</w:t>
            </w:r>
          </w:p>
        </w:tc>
        <w:tc>
          <w:tcPr>
            <w:tcW w:w="800" w:type="pct"/>
          </w:tcPr>
          <w:p w:rsidR="00076E84" w:rsidRDefault="00076E84" w:rsidP="00CF6359">
            <w:pPr>
              <w:jc w:val="right"/>
            </w:pPr>
            <w:r>
              <w:t>25.314.250</w:t>
            </w:r>
          </w:p>
        </w:tc>
        <w:tc>
          <w:tcPr>
            <w:tcW w:w="820" w:type="pct"/>
          </w:tcPr>
          <w:p w:rsidR="00076E84" w:rsidRDefault="00076E84" w:rsidP="00CF6359">
            <w:pPr>
              <w:jc w:val="right"/>
            </w:pPr>
            <w:r>
              <w:t>863.221</w:t>
            </w:r>
          </w:p>
        </w:tc>
      </w:tr>
      <w:tr w:rsidR="00076E84" w:rsidRPr="00304000" w:rsidTr="00CF6359">
        <w:trPr>
          <w:jc w:val="center"/>
        </w:trPr>
        <w:tc>
          <w:tcPr>
            <w:tcW w:w="287" w:type="pct"/>
            <w:vAlign w:val="center"/>
          </w:tcPr>
          <w:p w:rsidR="00076E84" w:rsidRDefault="00076E84" w:rsidP="00CF6359">
            <w:r>
              <w:t>5.</w:t>
            </w:r>
          </w:p>
        </w:tc>
        <w:tc>
          <w:tcPr>
            <w:tcW w:w="2279" w:type="pct"/>
          </w:tcPr>
          <w:p w:rsidR="00076E84" w:rsidRDefault="00076E84" w:rsidP="00CF6359">
            <w:r>
              <w:t>Privremeno korištene nekretnine</w:t>
            </w:r>
          </w:p>
        </w:tc>
        <w:tc>
          <w:tcPr>
            <w:tcW w:w="814" w:type="pct"/>
          </w:tcPr>
          <w:p w:rsidR="00076E84" w:rsidRPr="00836AF0" w:rsidRDefault="00076E84" w:rsidP="00CF6359">
            <w:pPr>
              <w:jc w:val="right"/>
            </w:pPr>
            <w:r w:rsidRPr="00836AF0">
              <w:t>4.563</w:t>
            </w:r>
          </w:p>
        </w:tc>
        <w:tc>
          <w:tcPr>
            <w:tcW w:w="800" w:type="pct"/>
          </w:tcPr>
          <w:p w:rsidR="00076E84" w:rsidRDefault="00076E84" w:rsidP="00CF6359">
            <w:pPr>
              <w:jc w:val="right"/>
            </w:pPr>
            <w:r>
              <w:t>4.563</w:t>
            </w:r>
          </w:p>
        </w:tc>
        <w:tc>
          <w:tcPr>
            <w:tcW w:w="820" w:type="pct"/>
          </w:tcPr>
          <w:p w:rsidR="00076E84" w:rsidRDefault="00076E84" w:rsidP="00CF6359">
            <w:pPr>
              <w:jc w:val="right"/>
            </w:pPr>
            <w:r>
              <w:t>0</w:t>
            </w:r>
          </w:p>
        </w:tc>
      </w:tr>
      <w:tr w:rsidR="00076E84" w:rsidRPr="00304000" w:rsidTr="00CF6359">
        <w:trPr>
          <w:jc w:val="center"/>
        </w:trPr>
        <w:tc>
          <w:tcPr>
            <w:tcW w:w="287" w:type="pct"/>
            <w:vAlign w:val="center"/>
          </w:tcPr>
          <w:p w:rsidR="00076E84" w:rsidRDefault="00076E84" w:rsidP="00CF6359">
            <w:r>
              <w:t>6.</w:t>
            </w:r>
          </w:p>
        </w:tc>
        <w:tc>
          <w:tcPr>
            <w:tcW w:w="2279" w:type="pct"/>
          </w:tcPr>
          <w:p w:rsidR="00076E84" w:rsidRDefault="00076E84" w:rsidP="00CF6359">
            <w:r>
              <w:t xml:space="preserve">Korištenje nekretnine – telekom. instalacije </w:t>
            </w:r>
          </w:p>
        </w:tc>
        <w:tc>
          <w:tcPr>
            <w:tcW w:w="814" w:type="pct"/>
            <w:vAlign w:val="center"/>
          </w:tcPr>
          <w:p w:rsidR="00076E84" w:rsidRPr="00836AF0" w:rsidRDefault="00076E84" w:rsidP="00CF6359">
            <w:pPr>
              <w:jc w:val="right"/>
            </w:pPr>
            <w:r w:rsidRPr="00836AF0">
              <w:t>9.581</w:t>
            </w:r>
          </w:p>
        </w:tc>
        <w:tc>
          <w:tcPr>
            <w:tcW w:w="800" w:type="pct"/>
            <w:vAlign w:val="center"/>
          </w:tcPr>
          <w:p w:rsidR="00076E84" w:rsidRDefault="00076E84" w:rsidP="00CF6359">
            <w:pPr>
              <w:jc w:val="right"/>
            </w:pPr>
            <w:r>
              <w:t>11.862</w:t>
            </w:r>
          </w:p>
        </w:tc>
        <w:tc>
          <w:tcPr>
            <w:tcW w:w="820" w:type="pct"/>
            <w:vAlign w:val="center"/>
          </w:tcPr>
          <w:p w:rsidR="00076E84" w:rsidRDefault="00076E84" w:rsidP="00CF6359">
            <w:pPr>
              <w:jc w:val="right"/>
            </w:pPr>
            <w:r>
              <w:t>2.281</w:t>
            </w:r>
          </w:p>
        </w:tc>
      </w:tr>
      <w:tr w:rsidR="00076E84" w:rsidRPr="00304000" w:rsidTr="00CF6359">
        <w:trPr>
          <w:jc w:val="center"/>
        </w:trPr>
        <w:tc>
          <w:tcPr>
            <w:tcW w:w="287" w:type="pct"/>
            <w:vAlign w:val="center"/>
          </w:tcPr>
          <w:p w:rsidR="00076E84" w:rsidRDefault="00076E84" w:rsidP="00CF6359">
            <w:r>
              <w:t>7.</w:t>
            </w:r>
          </w:p>
        </w:tc>
        <w:tc>
          <w:tcPr>
            <w:tcW w:w="2279" w:type="pct"/>
          </w:tcPr>
          <w:p w:rsidR="00076E84" w:rsidRPr="00304000" w:rsidRDefault="00076E84" w:rsidP="00CF6359">
            <w:r>
              <w:t>Prodaja stambenih objekata u Retkovcu i Botincu</w:t>
            </w:r>
          </w:p>
        </w:tc>
        <w:tc>
          <w:tcPr>
            <w:tcW w:w="814" w:type="pct"/>
            <w:vAlign w:val="center"/>
          </w:tcPr>
          <w:p w:rsidR="00076E84" w:rsidRPr="00836AF0" w:rsidRDefault="00076E84" w:rsidP="00CF6359">
            <w:pPr>
              <w:jc w:val="right"/>
            </w:pPr>
            <w:r w:rsidRPr="00836AF0">
              <w:t>40.881</w:t>
            </w:r>
          </w:p>
        </w:tc>
        <w:tc>
          <w:tcPr>
            <w:tcW w:w="800" w:type="pct"/>
            <w:vAlign w:val="center"/>
          </w:tcPr>
          <w:p w:rsidR="00076E84" w:rsidRDefault="00076E84" w:rsidP="00CF6359">
            <w:pPr>
              <w:jc w:val="right"/>
            </w:pPr>
            <w:r>
              <w:t>26.623</w:t>
            </w:r>
          </w:p>
        </w:tc>
        <w:tc>
          <w:tcPr>
            <w:tcW w:w="820" w:type="pct"/>
            <w:vAlign w:val="center"/>
          </w:tcPr>
          <w:p w:rsidR="00076E84" w:rsidRDefault="00076E84" w:rsidP="00CF6359">
            <w:pPr>
              <w:jc w:val="right"/>
            </w:pPr>
            <w:r>
              <w:t>-14.258</w:t>
            </w:r>
          </w:p>
        </w:tc>
      </w:tr>
      <w:tr w:rsidR="00076E84" w:rsidRPr="00304000" w:rsidTr="00CF6359">
        <w:trPr>
          <w:jc w:val="center"/>
        </w:trPr>
        <w:tc>
          <w:tcPr>
            <w:tcW w:w="287" w:type="pct"/>
            <w:vAlign w:val="center"/>
          </w:tcPr>
          <w:p w:rsidR="00076E84" w:rsidRDefault="00076E84" w:rsidP="00CF6359">
            <w:r>
              <w:t>8.</w:t>
            </w:r>
          </w:p>
        </w:tc>
        <w:tc>
          <w:tcPr>
            <w:tcW w:w="2279" w:type="pct"/>
          </w:tcPr>
          <w:p w:rsidR="00076E84" w:rsidRPr="00304000" w:rsidRDefault="00076E84" w:rsidP="00CF6359">
            <w:r>
              <w:t>Prodaja nadstojničkih stanova</w:t>
            </w:r>
          </w:p>
        </w:tc>
        <w:tc>
          <w:tcPr>
            <w:tcW w:w="814" w:type="pct"/>
          </w:tcPr>
          <w:p w:rsidR="00076E84" w:rsidRPr="00836AF0" w:rsidRDefault="00076E84" w:rsidP="00CF6359">
            <w:pPr>
              <w:jc w:val="right"/>
            </w:pPr>
            <w:r w:rsidRPr="00836AF0">
              <w:t>45.116</w:t>
            </w:r>
          </w:p>
        </w:tc>
        <w:tc>
          <w:tcPr>
            <w:tcW w:w="800" w:type="pct"/>
          </w:tcPr>
          <w:p w:rsidR="00076E84" w:rsidRDefault="00076E84" w:rsidP="00CF6359">
            <w:pPr>
              <w:jc w:val="right"/>
            </w:pPr>
            <w:r>
              <w:t>106.984</w:t>
            </w:r>
          </w:p>
        </w:tc>
        <w:tc>
          <w:tcPr>
            <w:tcW w:w="820" w:type="pct"/>
          </w:tcPr>
          <w:p w:rsidR="00076E84" w:rsidRDefault="00076E84" w:rsidP="00CF6359">
            <w:pPr>
              <w:jc w:val="right"/>
            </w:pPr>
            <w:r>
              <w:t>61.868</w:t>
            </w:r>
          </w:p>
        </w:tc>
      </w:tr>
      <w:tr w:rsidR="00076E84" w:rsidRPr="002C1DE0" w:rsidTr="00CF6359">
        <w:trPr>
          <w:jc w:val="center"/>
        </w:trPr>
        <w:tc>
          <w:tcPr>
            <w:tcW w:w="287" w:type="pct"/>
          </w:tcPr>
          <w:p w:rsidR="00076E84" w:rsidRDefault="00076E84" w:rsidP="00CF6359">
            <w:pPr>
              <w:rPr>
                <w:b/>
              </w:rPr>
            </w:pPr>
          </w:p>
        </w:tc>
        <w:tc>
          <w:tcPr>
            <w:tcW w:w="2279" w:type="pct"/>
          </w:tcPr>
          <w:p w:rsidR="00076E84" w:rsidRPr="002C1DE0" w:rsidRDefault="00076E84" w:rsidP="00CF6359">
            <w:pPr>
              <w:rPr>
                <w:b/>
              </w:rPr>
            </w:pPr>
            <w:r>
              <w:rPr>
                <w:b/>
              </w:rPr>
              <w:t>UKUPNO</w:t>
            </w:r>
          </w:p>
        </w:tc>
        <w:tc>
          <w:tcPr>
            <w:tcW w:w="814" w:type="pct"/>
          </w:tcPr>
          <w:p w:rsidR="00076E84" w:rsidRDefault="00076E84" w:rsidP="00CF6359">
            <w:pPr>
              <w:jc w:val="right"/>
            </w:pPr>
            <w:r w:rsidRPr="00836AF0">
              <w:t>348.842.689</w:t>
            </w:r>
          </w:p>
        </w:tc>
        <w:tc>
          <w:tcPr>
            <w:tcW w:w="800" w:type="pct"/>
          </w:tcPr>
          <w:p w:rsidR="00076E84" w:rsidRPr="0097236D" w:rsidRDefault="00076E84" w:rsidP="00CF6359">
            <w:pPr>
              <w:jc w:val="right"/>
            </w:pPr>
            <w:r w:rsidRPr="0097236D">
              <w:t>24</w:t>
            </w:r>
            <w:r>
              <w:t>3</w:t>
            </w:r>
            <w:r w:rsidRPr="0097236D">
              <w:t>.</w:t>
            </w:r>
            <w:r>
              <w:t>400.459</w:t>
            </w:r>
          </w:p>
        </w:tc>
        <w:tc>
          <w:tcPr>
            <w:tcW w:w="820" w:type="pct"/>
          </w:tcPr>
          <w:p w:rsidR="00076E84" w:rsidRPr="0097236D" w:rsidRDefault="00076E84" w:rsidP="00CF6359">
            <w:pPr>
              <w:jc w:val="right"/>
            </w:pPr>
            <w:r>
              <w:t>-105.442.230</w:t>
            </w:r>
          </w:p>
        </w:tc>
      </w:tr>
    </w:tbl>
    <w:p w:rsidR="00076E84" w:rsidRDefault="00076E84" w:rsidP="00076E84">
      <w:pPr>
        <w:spacing w:after="0"/>
        <w:rPr>
          <w:b/>
        </w:rPr>
      </w:pPr>
    </w:p>
    <w:p w:rsidR="00076E84" w:rsidRDefault="00076E84" w:rsidP="00076E84">
      <w:r>
        <w:rPr>
          <w:b/>
        </w:rPr>
        <w:t>Bilješka br. 26</w:t>
      </w:r>
      <w:r>
        <w:t xml:space="preserve"> – AOP 163 Obveze</w:t>
      </w:r>
    </w:p>
    <w:tbl>
      <w:tblPr>
        <w:tblStyle w:val="TableGrid"/>
        <w:tblW w:w="0" w:type="auto"/>
        <w:tblLook w:val="04A0" w:firstRow="1" w:lastRow="0" w:firstColumn="1" w:lastColumn="0" w:noHBand="0" w:noVBand="1"/>
      </w:tblPr>
      <w:tblGrid>
        <w:gridCol w:w="864"/>
        <w:gridCol w:w="2132"/>
        <w:gridCol w:w="603"/>
        <w:gridCol w:w="1640"/>
        <w:gridCol w:w="1669"/>
        <w:gridCol w:w="973"/>
        <w:gridCol w:w="1407"/>
      </w:tblGrid>
      <w:tr w:rsidR="00076E84" w:rsidRPr="00774066" w:rsidTr="00CF6359">
        <w:trPr>
          <w:trHeight w:val="600"/>
        </w:trPr>
        <w:tc>
          <w:tcPr>
            <w:tcW w:w="864"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lastRenderedPageBreak/>
              <w:t>RAČUN</w:t>
            </w:r>
          </w:p>
        </w:tc>
        <w:tc>
          <w:tcPr>
            <w:tcW w:w="2132" w:type="dxa"/>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132" w:type="dxa"/>
            <w:tcBorders>
              <w:bottom w:val="single" w:sz="4" w:space="0" w:color="auto"/>
            </w:tcBorders>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7</w:t>
            </w:r>
          </w:p>
        </w:tc>
      </w:tr>
      <w:tr w:rsidR="00076E84" w:rsidRPr="001E5F32" w:rsidTr="00CF6359">
        <w:trPr>
          <w:trHeight w:val="415"/>
        </w:trPr>
        <w:tc>
          <w:tcPr>
            <w:tcW w:w="864" w:type="dxa"/>
            <w:shd w:val="clear" w:color="auto" w:fill="FFFFFF" w:themeFill="background1"/>
            <w:noWrap/>
            <w:vAlign w:val="center"/>
          </w:tcPr>
          <w:p w:rsidR="00076E84" w:rsidRPr="001E5F32" w:rsidRDefault="00076E84" w:rsidP="00CF6359">
            <w:pPr>
              <w:jc w:val="right"/>
            </w:pPr>
            <w:r>
              <w:t>2</w:t>
            </w:r>
          </w:p>
        </w:tc>
        <w:tc>
          <w:tcPr>
            <w:tcW w:w="2132" w:type="dxa"/>
            <w:shd w:val="clear" w:color="auto" w:fill="FFFFFF" w:themeFill="background1"/>
            <w:vAlign w:val="center"/>
          </w:tcPr>
          <w:p w:rsidR="00076E84" w:rsidRPr="001E5F32" w:rsidRDefault="00076E84" w:rsidP="00CF6359">
            <w:r>
              <w:t>Obveze</w:t>
            </w:r>
          </w:p>
        </w:tc>
        <w:tc>
          <w:tcPr>
            <w:tcW w:w="603" w:type="dxa"/>
            <w:shd w:val="clear" w:color="auto" w:fill="FFFFFF" w:themeFill="background1"/>
            <w:noWrap/>
            <w:vAlign w:val="center"/>
          </w:tcPr>
          <w:p w:rsidR="00076E84" w:rsidRPr="001E5F32" w:rsidRDefault="00076E84" w:rsidP="00CF6359">
            <w:pPr>
              <w:jc w:val="right"/>
            </w:pPr>
            <w:r>
              <w:t>163</w:t>
            </w:r>
          </w:p>
        </w:tc>
        <w:tc>
          <w:tcPr>
            <w:tcW w:w="1640" w:type="dxa"/>
            <w:shd w:val="clear" w:color="auto" w:fill="FFFFFF" w:themeFill="background1"/>
            <w:noWrap/>
            <w:vAlign w:val="center"/>
          </w:tcPr>
          <w:p w:rsidR="00076E84" w:rsidRPr="001E5F32" w:rsidRDefault="00076E84" w:rsidP="00CF6359">
            <w:pPr>
              <w:jc w:val="right"/>
            </w:pPr>
            <w:r w:rsidRPr="000D57B5">
              <w:t>2.340.794.143</w:t>
            </w:r>
          </w:p>
        </w:tc>
        <w:tc>
          <w:tcPr>
            <w:tcW w:w="1669" w:type="dxa"/>
            <w:shd w:val="clear" w:color="auto" w:fill="FFFFFF" w:themeFill="background1"/>
            <w:noWrap/>
            <w:vAlign w:val="center"/>
          </w:tcPr>
          <w:p w:rsidR="00076E84" w:rsidRPr="001E5F32" w:rsidRDefault="00076E84" w:rsidP="00CF6359">
            <w:pPr>
              <w:jc w:val="right"/>
            </w:pPr>
            <w:r>
              <w:t>2.606.966.194</w:t>
            </w:r>
          </w:p>
        </w:tc>
        <w:tc>
          <w:tcPr>
            <w:tcW w:w="973" w:type="dxa"/>
            <w:shd w:val="clear" w:color="auto" w:fill="FFFFFF" w:themeFill="background1"/>
            <w:noWrap/>
            <w:vAlign w:val="center"/>
          </w:tcPr>
          <w:p w:rsidR="00076E84" w:rsidRPr="001E5F32" w:rsidRDefault="00076E84" w:rsidP="00CF6359">
            <w:pPr>
              <w:jc w:val="right"/>
            </w:pPr>
            <w:r>
              <w:t>111,4</w:t>
            </w:r>
          </w:p>
        </w:tc>
        <w:tc>
          <w:tcPr>
            <w:tcW w:w="1407" w:type="dxa"/>
            <w:shd w:val="clear" w:color="auto" w:fill="FFFFFF" w:themeFill="background1"/>
            <w:noWrap/>
            <w:vAlign w:val="center"/>
          </w:tcPr>
          <w:p w:rsidR="00076E84" w:rsidRPr="001E5F32" w:rsidRDefault="00076E84" w:rsidP="00CF6359">
            <w:pPr>
              <w:jc w:val="right"/>
            </w:pPr>
            <w:r>
              <w:t>266.172.051</w:t>
            </w:r>
          </w:p>
        </w:tc>
      </w:tr>
    </w:tbl>
    <w:p w:rsidR="00076E84" w:rsidRDefault="00076E84" w:rsidP="00076E84">
      <w:pPr>
        <w:spacing w:after="0"/>
      </w:pPr>
    </w:p>
    <w:p w:rsidR="00076E84" w:rsidRDefault="00076E84" w:rsidP="00076E84">
      <w:pPr>
        <w:jc w:val="both"/>
      </w:pPr>
      <w:r>
        <w:t>Obveze su povećane za 266.172.051 kn, odnosno za 11,4 % u odnosu na prethodnu godinu i iznose 2.606.966.194 kn. Značajnije povećanje se odnosi na obveze za kredite i zajmove  u iznosu 229.985.315 kn i obveze za nabavu nefinancijske imovine u iznosu 54.596.994 kn u odnosu na prethodnu godinu.</w:t>
      </w:r>
    </w:p>
    <w:p w:rsidR="00076E84" w:rsidRPr="00E9357D" w:rsidRDefault="00076E84" w:rsidP="00076E84">
      <w:pPr>
        <w:jc w:val="both"/>
      </w:pPr>
      <w:r>
        <w:t xml:space="preserve">Specifikacija ukupnih obveza Grada prema nadležnim gradskim upravnim tijelima:  </w:t>
      </w:r>
    </w:p>
    <w:tbl>
      <w:tblPr>
        <w:tblStyle w:val="TableGrid"/>
        <w:tblW w:w="0" w:type="auto"/>
        <w:tblLook w:val="04A0" w:firstRow="1" w:lastRow="0" w:firstColumn="1" w:lastColumn="0" w:noHBand="0" w:noVBand="1"/>
      </w:tblPr>
      <w:tblGrid>
        <w:gridCol w:w="6174"/>
        <w:gridCol w:w="1557"/>
        <w:gridCol w:w="1557"/>
      </w:tblGrid>
      <w:tr w:rsidR="00076E84" w:rsidTr="00CF6359">
        <w:trPr>
          <w:trHeight w:val="488"/>
        </w:trPr>
        <w:tc>
          <w:tcPr>
            <w:tcW w:w="0" w:type="auto"/>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0" w:type="auto"/>
            <w:tcBorders>
              <w:bottom w:val="single" w:sz="4" w:space="0" w:color="auto"/>
            </w:tcBorders>
            <w:shd w:val="clear" w:color="auto" w:fill="DEEAF6" w:themeFill="accent1" w:themeFillTint="33"/>
          </w:tcPr>
          <w:p w:rsidR="00076E84" w:rsidRPr="00F9533E" w:rsidRDefault="00076E84" w:rsidP="00CF6359">
            <w:pPr>
              <w:jc w:val="center"/>
            </w:pPr>
            <w:r w:rsidRPr="00F9533E">
              <w:t>Stanje 01.01.1</w:t>
            </w:r>
            <w:r>
              <w:t>8</w:t>
            </w:r>
            <w:r w:rsidRPr="00F9533E">
              <w:t>.</w:t>
            </w:r>
          </w:p>
        </w:tc>
        <w:tc>
          <w:tcPr>
            <w:tcW w:w="0" w:type="auto"/>
            <w:tcBorders>
              <w:bottom w:val="single" w:sz="4" w:space="0" w:color="auto"/>
            </w:tcBorders>
            <w:shd w:val="clear" w:color="auto" w:fill="DEEAF6" w:themeFill="accent1" w:themeFillTint="33"/>
          </w:tcPr>
          <w:p w:rsidR="00076E84" w:rsidRDefault="00076E84" w:rsidP="00CF6359">
            <w:pPr>
              <w:jc w:val="center"/>
            </w:pPr>
            <w:r w:rsidRPr="00F9533E">
              <w:t>Stanje 31.12.1</w:t>
            </w:r>
            <w:r>
              <w:t>8</w:t>
            </w:r>
            <w:r w:rsidRPr="00F9533E">
              <w:t>.</w:t>
            </w:r>
          </w:p>
        </w:tc>
      </w:tr>
      <w:tr w:rsidR="00076E84" w:rsidRPr="00BE576B" w:rsidTr="00CF6359">
        <w:trPr>
          <w:trHeight w:val="112"/>
        </w:trPr>
        <w:tc>
          <w:tcPr>
            <w:tcW w:w="0" w:type="auto"/>
            <w:shd w:val="clear" w:color="auto" w:fill="DEEAF6" w:themeFill="accent1" w:themeFillTint="33"/>
          </w:tcPr>
          <w:p w:rsidR="00076E84" w:rsidRPr="00BE576B" w:rsidRDefault="00076E84" w:rsidP="00CF6359">
            <w:pPr>
              <w:jc w:val="center"/>
              <w:rPr>
                <w:sz w:val="16"/>
                <w:szCs w:val="16"/>
              </w:rPr>
            </w:pPr>
            <w:r>
              <w:rPr>
                <w:sz w:val="16"/>
                <w:szCs w:val="16"/>
              </w:rPr>
              <w:t>1</w:t>
            </w:r>
          </w:p>
        </w:tc>
        <w:tc>
          <w:tcPr>
            <w:tcW w:w="0" w:type="auto"/>
            <w:shd w:val="clear" w:color="auto" w:fill="DEEAF6" w:themeFill="accent1" w:themeFillTint="33"/>
          </w:tcPr>
          <w:p w:rsidR="00076E84" w:rsidRPr="00BE576B" w:rsidRDefault="00076E84" w:rsidP="00CF6359">
            <w:pPr>
              <w:jc w:val="center"/>
              <w:rPr>
                <w:sz w:val="16"/>
                <w:szCs w:val="16"/>
              </w:rPr>
            </w:pPr>
            <w:r>
              <w:rPr>
                <w:sz w:val="16"/>
                <w:szCs w:val="16"/>
              </w:rPr>
              <w:t>2</w:t>
            </w:r>
          </w:p>
        </w:tc>
        <w:tc>
          <w:tcPr>
            <w:tcW w:w="0" w:type="auto"/>
            <w:shd w:val="clear" w:color="auto" w:fill="DEEAF6" w:themeFill="accent1" w:themeFillTint="33"/>
          </w:tcPr>
          <w:p w:rsidR="00076E84" w:rsidRPr="00BE576B" w:rsidRDefault="00076E84" w:rsidP="00CF6359">
            <w:pPr>
              <w:jc w:val="center"/>
              <w:rPr>
                <w:sz w:val="16"/>
                <w:szCs w:val="16"/>
              </w:rPr>
            </w:pPr>
            <w:r>
              <w:rPr>
                <w:sz w:val="16"/>
                <w:szCs w:val="16"/>
              </w:rPr>
              <w:t>3</w:t>
            </w:r>
          </w:p>
        </w:tc>
      </w:tr>
      <w:tr w:rsidR="00076E84" w:rsidRPr="002C1DE0" w:rsidTr="00CF6359">
        <w:tc>
          <w:tcPr>
            <w:tcW w:w="0" w:type="auto"/>
          </w:tcPr>
          <w:p w:rsidR="00076E84" w:rsidRPr="007C348E" w:rsidRDefault="00076E84" w:rsidP="00CF6359">
            <w:r w:rsidRPr="007C348E">
              <w:t>Ured gradonačelnika</w:t>
            </w:r>
          </w:p>
        </w:tc>
        <w:tc>
          <w:tcPr>
            <w:tcW w:w="0" w:type="auto"/>
          </w:tcPr>
          <w:p w:rsidR="00076E84" w:rsidRPr="00720F0B" w:rsidRDefault="00076E84" w:rsidP="00CF6359">
            <w:pPr>
              <w:jc w:val="right"/>
            </w:pPr>
            <w:r w:rsidRPr="00720F0B">
              <w:t>12.182.547</w:t>
            </w:r>
          </w:p>
        </w:tc>
        <w:tc>
          <w:tcPr>
            <w:tcW w:w="0" w:type="auto"/>
          </w:tcPr>
          <w:p w:rsidR="00076E84" w:rsidRPr="007C348E" w:rsidRDefault="00076E84" w:rsidP="00CF6359">
            <w:pPr>
              <w:jc w:val="right"/>
            </w:pPr>
            <w:r>
              <w:t>12.971.132</w:t>
            </w:r>
          </w:p>
        </w:tc>
      </w:tr>
      <w:tr w:rsidR="00076E84" w:rsidRPr="002C1DE0" w:rsidTr="00CF6359">
        <w:tc>
          <w:tcPr>
            <w:tcW w:w="0" w:type="auto"/>
          </w:tcPr>
          <w:p w:rsidR="00076E84" w:rsidRPr="007C348E" w:rsidRDefault="00076E84" w:rsidP="00CF6359">
            <w:r w:rsidRPr="007C348E">
              <w:t>Ured za javnu nabavu</w:t>
            </w:r>
          </w:p>
        </w:tc>
        <w:tc>
          <w:tcPr>
            <w:tcW w:w="0" w:type="auto"/>
          </w:tcPr>
          <w:p w:rsidR="00076E84" w:rsidRPr="00720F0B" w:rsidRDefault="00076E84" w:rsidP="00CF6359">
            <w:pPr>
              <w:jc w:val="right"/>
            </w:pPr>
            <w:r w:rsidRPr="00720F0B">
              <w:t>1.620.881</w:t>
            </w:r>
          </w:p>
        </w:tc>
        <w:tc>
          <w:tcPr>
            <w:tcW w:w="0" w:type="auto"/>
          </w:tcPr>
          <w:p w:rsidR="00076E84" w:rsidRPr="007C348E" w:rsidRDefault="00076E84" w:rsidP="00CF6359">
            <w:pPr>
              <w:jc w:val="right"/>
            </w:pPr>
            <w:r>
              <w:t>1.356.015</w:t>
            </w:r>
          </w:p>
        </w:tc>
      </w:tr>
      <w:tr w:rsidR="00076E84" w:rsidRPr="002C1DE0" w:rsidTr="00CF6359">
        <w:tc>
          <w:tcPr>
            <w:tcW w:w="0" w:type="auto"/>
          </w:tcPr>
          <w:p w:rsidR="00076E84" w:rsidRPr="007C348E" w:rsidRDefault="00076E84" w:rsidP="00CF6359">
            <w:r w:rsidRPr="007C348E">
              <w:t>Gradski kontrolni ured</w:t>
            </w:r>
          </w:p>
        </w:tc>
        <w:tc>
          <w:tcPr>
            <w:tcW w:w="0" w:type="auto"/>
          </w:tcPr>
          <w:p w:rsidR="00076E84" w:rsidRPr="00720F0B" w:rsidRDefault="00076E84" w:rsidP="00CF6359">
            <w:pPr>
              <w:jc w:val="right"/>
            </w:pPr>
            <w:r w:rsidRPr="00720F0B">
              <w:t>436.619</w:t>
            </w:r>
          </w:p>
        </w:tc>
        <w:tc>
          <w:tcPr>
            <w:tcW w:w="0" w:type="auto"/>
          </w:tcPr>
          <w:p w:rsidR="00076E84" w:rsidRPr="007C348E" w:rsidRDefault="00076E84" w:rsidP="00CF6359">
            <w:pPr>
              <w:jc w:val="right"/>
            </w:pPr>
            <w:r>
              <w:t>485.278</w:t>
            </w:r>
          </w:p>
        </w:tc>
      </w:tr>
      <w:tr w:rsidR="00076E84" w:rsidRPr="002C1DE0" w:rsidTr="00CF6359">
        <w:tc>
          <w:tcPr>
            <w:tcW w:w="0" w:type="auto"/>
          </w:tcPr>
          <w:p w:rsidR="00076E84" w:rsidRPr="007C348E" w:rsidRDefault="00076E84" w:rsidP="00CF6359">
            <w:r w:rsidRPr="007C348E">
              <w:t>GU za strategijsko planiranje i razvoj grada</w:t>
            </w:r>
          </w:p>
        </w:tc>
        <w:tc>
          <w:tcPr>
            <w:tcW w:w="0" w:type="auto"/>
          </w:tcPr>
          <w:p w:rsidR="00076E84" w:rsidRPr="00720F0B" w:rsidRDefault="00076E84" w:rsidP="00CF6359">
            <w:pPr>
              <w:jc w:val="right"/>
            </w:pPr>
            <w:r w:rsidRPr="00720F0B">
              <w:t>4.293.692</w:t>
            </w:r>
          </w:p>
        </w:tc>
        <w:tc>
          <w:tcPr>
            <w:tcW w:w="0" w:type="auto"/>
          </w:tcPr>
          <w:p w:rsidR="00076E84" w:rsidRPr="007C348E" w:rsidRDefault="00076E84" w:rsidP="00CF6359">
            <w:pPr>
              <w:jc w:val="right"/>
            </w:pPr>
            <w:r>
              <w:t>3.836.982</w:t>
            </w:r>
          </w:p>
        </w:tc>
      </w:tr>
      <w:tr w:rsidR="00076E84" w:rsidRPr="002C1DE0" w:rsidTr="00CF6359">
        <w:tc>
          <w:tcPr>
            <w:tcW w:w="0" w:type="auto"/>
          </w:tcPr>
          <w:p w:rsidR="00076E84" w:rsidRPr="007C348E" w:rsidRDefault="00076E84" w:rsidP="00CF6359">
            <w:r w:rsidRPr="007C348E">
              <w:t>Služba za mjesnu samoupravu</w:t>
            </w:r>
          </w:p>
        </w:tc>
        <w:tc>
          <w:tcPr>
            <w:tcW w:w="0" w:type="auto"/>
          </w:tcPr>
          <w:p w:rsidR="00076E84" w:rsidRPr="00720F0B" w:rsidRDefault="00076E84" w:rsidP="00CF6359">
            <w:pPr>
              <w:jc w:val="right"/>
            </w:pPr>
            <w:r w:rsidRPr="00720F0B">
              <w:t>104.960.859</w:t>
            </w:r>
          </w:p>
        </w:tc>
        <w:tc>
          <w:tcPr>
            <w:tcW w:w="0" w:type="auto"/>
          </w:tcPr>
          <w:p w:rsidR="00076E84" w:rsidRPr="007C348E" w:rsidRDefault="00076E84" w:rsidP="00CF6359">
            <w:pPr>
              <w:jc w:val="right"/>
            </w:pPr>
            <w:r>
              <w:t>32.047.953</w:t>
            </w:r>
          </w:p>
        </w:tc>
      </w:tr>
      <w:tr w:rsidR="00076E84" w:rsidRPr="002C1DE0" w:rsidTr="00CF6359">
        <w:tc>
          <w:tcPr>
            <w:tcW w:w="0" w:type="auto"/>
          </w:tcPr>
          <w:p w:rsidR="00076E84" w:rsidRPr="007C348E" w:rsidRDefault="00076E84" w:rsidP="00CF6359">
            <w:r w:rsidRPr="007C348E">
              <w:t>Služba za mjesnu samoupravu – gradske četvrti</w:t>
            </w:r>
          </w:p>
        </w:tc>
        <w:tc>
          <w:tcPr>
            <w:tcW w:w="0" w:type="auto"/>
          </w:tcPr>
          <w:p w:rsidR="00076E84" w:rsidRPr="00720F0B" w:rsidRDefault="00076E84" w:rsidP="00CF6359">
            <w:pPr>
              <w:jc w:val="right"/>
            </w:pPr>
            <w:r w:rsidRPr="00720F0B">
              <w:t>132.848.940</w:t>
            </w:r>
          </w:p>
        </w:tc>
        <w:tc>
          <w:tcPr>
            <w:tcW w:w="0" w:type="auto"/>
          </w:tcPr>
          <w:p w:rsidR="00076E84" w:rsidRPr="007C348E" w:rsidRDefault="00076E84" w:rsidP="00CF6359">
            <w:pPr>
              <w:jc w:val="right"/>
            </w:pPr>
            <w:r>
              <w:t>217.771.654</w:t>
            </w:r>
          </w:p>
        </w:tc>
      </w:tr>
      <w:tr w:rsidR="00076E84" w:rsidRPr="002C1DE0" w:rsidTr="00CF6359">
        <w:tc>
          <w:tcPr>
            <w:tcW w:w="0" w:type="auto"/>
          </w:tcPr>
          <w:p w:rsidR="00076E84" w:rsidRPr="007C348E" w:rsidRDefault="00076E84" w:rsidP="00CF6359">
            <w:r w:rsidRPr="007C348E">
              <w:t>GU za opću upravu</w:t>
            </w:r>
          </w:p>
        </w:tc>
        <w:tc>
          <w:tcPr>
            <w:tcW w:w="0" w:type="auto"/>
          </w:tcPr>
          <w:p w:rsidR="00076E84" w:rsidRPr="00720F0B" w:rsidRDefault="00076E84" w:rsidP="00CF6359">
            <w:pPr>
              <w:jc w:val="right"/>
            </w:pPr>
            <w:r w:rsidRPr="00720F0B">
              <w:t>5.736.143</w:t>
            </w:r>
          </w:p>
        </w:tc>
        <w:tc>
          <w:tcPr>
            <w:tcW w:w="0" w:type="auto"/>
          </w:tcPr>
          <w:p w:rsidR="00076E84" w:rsidRPr="007C348E" w:rsidRDefault="00076E84" w:rsidP="00CF6359">
            <w:pPr>
              <w:jc w:val="right"/>
            </w:pPr>
            <w:r>
              <w:t>5.618.103</w:t>
            </w:r>
          </w:p>
        </w:tc>
      </w:tr>
      <w:tr w:rsidR="00076E84" w:rsidRPr="003E56AB" w:rsidTr="00CF6359">
        <w:tc>
          <w:tcPr>
            <w:tcW w:w="0" w:type="auto"/>
          </w:tcPr>
          <w:p w:rsidR="00076E84" w:rsidRPr="007C348E" w:rsidRDefault="00076E84" w:rsidP="00CF6359">
            <w:r w:rsidRPr="007C348E">
              <w:t>GU za financije</w:t>
            </w:r>
          </w:p>
        </w:tc>
        <w:tc>
          <w:tcPr>
            <w:tcW w:w="0" w:type="auto"/>
          </w:tcPr>
          <w:p w:rsidR="00076E84" w:rsidRPr="00720F0B" w:rsidRDefault="00076E84" w:rsidP="00CF6359">
            <w:pPr>
              <w:jc w:val="right"/>
            </w:pPr>
            <w:r w:rsidRPr="00720F0B">
              <w:t>746.138.905</w:t>
            </w:r>
          </w:p>
        </w:tc>
        <w:tc>
          <w:tcPr>
            <w:tcW w:w="0" w:type="auto"/>
          </w:tcPr>
          <w:p w:rsidR="00076E84" w:rsidRPr="007C348E" w:rsidRDefault="00076E84" w:rsidP="00CF6359">
            <w:pPr>
              <w:jc w:val="right"/>
            </w:pPr>
            <w:r>
              <w:t>881.951.335</w:t>
            </w:r>
          </w:p>
        </w:tc>
      </w:tr>
      <w:tr w:rsidR="00076E84" w:rsidRPr="003E56AB" w:rsidTr="00CF6359">
        <w:tc>
          <w:tcPr>
            <w:tcW w:w="0" w:type="auto"/>
          </w:tcPr>
          <w:p w:rsidR="00076E84" w:rsidRPr="007C348E" w:rsidRDefault="00076E84" w:rsidP="00CF6359">
            <w:r w:rsidRPr="007C348E">
              <w:t xml:space="preserve">GU za gospodarstvo, </w:t>
            </w:r>
            <w:r>
              <w:t>energetiku i zaštitu okoliša</w:t>
            </w:r>
          </w:p>
        </w:tc>
        <w:tc>
          <w:tcPr>
            <w:tcW w:w="0" w:type="auto"/>
          </w:tcPr>
          <w:p w:rsidR="00076E84" w:rsidRPr="00720F0B" w:rsidRDefault="00076E84" w:rsidP="00CF6359">
            <w:pPr>
              <w:jc w:val="right"/>
            </w:pPr>
            <w:r>
              <w:t>152.796.999</w:t>
            </w:r>
          </w:p>
        </w:tc>
        <w:tc>
          <w:tcPr>
            <w:tcW w:w="0" w:type="auto"/>
          </w:tcPr>
          <w:p w:rsidR="00076E84" w:rsidRPr="007C348E" w:rsidRDefault="00076E84" w:rsidP="00CF6359">
            <w:pPr>
              <w:jc w:val="right"/>
            </w:pPr>
            <w:r>
              <w:t>353.251.082</w:t>
            </w:r>
          </w:p>
        </w:tc>
      </w:tr>
      <w:tr w:rsidR="00076E84" w:rsidRPr="003E56AB" w:rsidTr="00CF6359">
        <w:tc>
          <w:tcPr>
            <w:tcW w:w="0" w:type="auto"/>
          </w:tcPr>
          <w:p w:rsidR="00076E84" w:rsidRPr="007C348E" w:rsidRDefault="00076E84" w:rsidP="00CF6359">
            <w:r w:rsidRPr="007C348E">
              <w:t>GU za obrazovanje</w:t>
            </w:r>
          </w:p>
        </w:tc>
        <w:tc>
          <w:tcPr>
            <w:tcW w:w="0" w:type="auto"/>
          </w:tcPr>
          <w:p w:rsidR="00076E84" w:rsidRPr="00720F0B" w:rsidRDefault="00076E84" w:rsidP="00CF6359">
            <w:pPr>
              <w:jc w:val="right"/>
            </w:pPr>
            <w:r w:rsidRPr="00720F0B">
              <w:t>5.138.200</w:t>
            </w:r>
          </w:p>
        </w:tc>
        <w:tc>
          <w:tcPr>
            <w:tcW w:w="0" w:type="auto"/>
          </w:tcPr>
          <w:p w:rsidR="00076E84" w:rsidRPr="007C348E" w:rsidRDefault="00076E84" w:rsidP="00CF6359">
            <w:pPr>
              <w:jc w:val="right"/>
            </w:pPr>
            <w:r>
              <w:t>4.236.781</w:t>
            </w:r>
          </w:p>
        </w:tc>
      </w:tr>
      <w:tr w:rsidR="00076E84" w:rsidRPr="003E56AB" w:rsidTr="00CF6359">
        <w:tc>
          <w:tcPr>
            <w:tcW w:w="0" w:type="auto"/>
          </w:tcPr>
          <w:p w:rsidR="00076E84" w:rsidRPr="007C348E" w:rsidRDefault="00076E84" w:rsidP="00CF6359">
            <w:r w:rsidRPr="007C348E">
              <w:t>Predškolski odgoj i obrazovanje</w:t>
            </w:r>
          </w:p>
        </w:tc>
        <w:tc>
          <w:tcPr>
            <w:tcW w:w="0" w:type="auto"/>
          </w:tcPr>
          <w:p w:rsidR="00076E84" w:rsidRPr="00720F0B" w:rsidRDefault="00076E84" w:rsidP="00CF6359">
            <w:pPr>
              <w:jc w:val="right"/>
            </w:pPr>
            <w:r w:rsidRPr="00720F0B">
              <w:t>9.274.661</w:t>
            </w:r>
          </w:p>
        </w:tc>
        <w:tc>
          <w:tcPr>
            <w:tcW w:w="0" w:type="auto"/>
          </w:tcPr>
          <w:p w:rsidR="00076E84" w:rsidRPr="007C348E" w:rsidRDefault="00076E84" w:rsidP="00CF6359">
            <w:pPr>
              <w:jc w:val="right"/>
            </w:pPr>
            <w:r>
              <w:t>5.959.027</w:t>
            </w:r>
          </w:p>
        </w:tc>
      </w:tr>
      <w:tr w:rsidR="00076E84" w:rsidRPr="003E56AB" w:rsidTr="00CF6359">
        <w:tc>
          <w:tcPr>
            <w:tcW w:w="0" w:type="auto"/>
          </w:tcPr>
          <w:p w:rsidR="00076E84" w:rsidRPr="007C348E" w:rsidRDefault="00076E84" w:rsidP="00CF6359">
            <w:r w:rsidRPr="007C348E">
              <w:t>Osnovno školstvo</w:t>
            </w:r>
          </w:p>
        </w:tc>
        <w:tc>
          <w:tcPr>
            <w:tcW w:w="0" w:type="auto"/>
          </w:tcPr>
          <w:p w:rsidR="00076E84" w:rsidRPr="00720F0B" w:rsidRDefault="00076E84" w:rsidP="00CF6359">
            <w:pPr>
              <w:jc w:val="right"/>
            </w:pPr>
            <w:r w:rsidRPr="00720F0B">
              <w:t>4.946.794</w:t>
            </w:r>
          </w:p>
        </w:tc>
        <w:tc>
          <w:tcPr>
            <w:tcW w:w="0" w:type="auto"/>
          </w:tcPr>
          <w:p w:rsidR="00076E84" w:rsidRPr="007C348E" w:rsidRDefault="00076E84" w:rsidP="00CF6359">
            <w:pPr>
              <w:jc w:val="right"/>
            </w:pPr>
            <w:r>
              <w:t>6.107.929</w:t>
            </w:r>
          </w:p>
        </w:tc>
      </w:tr>
      <w:tr w:rsidR="00076E84" w:rsidRPr="003E56AB" w:rsidTr="00CF6359">
        <w:tc>
          <w:tcPr>
            <w:tcW w:w="0" w:type="auto"/>
          </w:tcPr>
          <w:p w:rsidR="00076E84" w:rsidRPr="007C348E" w:rsidRDefault="00076E84" w:rsidP="00CF6359">
            <w:r w:rsidRPr="007C348E">
              <w:t>Srednje školstvo</w:t>
            </w:r>
          </w:p>
        </w:tc>
        <w:tc>
          <w:tcPr>
            <w:tcW w:w="0" w:type="auto"/>
          </w:tcPr>
          <w:p w:rsidR="00076E84" w:rsidRPr="00720F0B" w:rsidRDefault="00076E84" w:rsidP="00CF6359">
            <w:pPr>
              <w:jc w:val="right"/>
            </w:pPr>
            <w:r w:rsidRPr="00720F0B">
              <w:t>10.304.937</w:t>
            </w:r>
          </w:p>
        </w:tc>
        <w:tc>
          <w:tcPr>
            <w:tcW w:w="0" w:type="auto"/>
          </w:tcPr>
          <w:p w:rsidR="00076E84" w:rsidRPr="007C348E" w:rsidRDefault="00076E84" w:rsidP="00CF6359">
            <w:pPr>
              <w:jc w:val="right"/>
            </w:pPr>
            <w:r>
              <w:t>6.733.832</w:t>
            </w:r>
          </w:p>
        </w:tc>
      </w:tr>
      <w:tr w:rsidR="00076E84" w:rsidRPr="003E56AB" w:rsidTr="00CF6359">
        <w:tc>
          <w:tcPr>
            <w:tcW w:w="0" w:type="auto"/>
          </w:tcPr>
          <w:p w:rsidR="00076E84" w:rsidRPr="007C348E" w:rsidRDefault="00076E84" w:rsidP="00CF6359">
            <w:r w:rsidRPr="007C348E">
              <w:t>GU za zdravstvo</w:t>
            </w:r>
          </w:p>
        </w:tc>
        <w:tc>
          <w:tcPr>
            <w:tcW w:w="0" w:type="auto"/>
          </w:tcPr>
          <w:p w:rsidR="00076E84" w:rsidRPr="00720F0B" w:rsidRDefault="00076E84" w:rsidP="00CF6359">
            <w:pPr>
              <w:jc w:val="right"/>
            </w:pPr>
            <w:r w:rsidRPr="00720F0B">
              <w:t>5.845.085</w:t>
            </w:r>
          </w:p>
        </w:tc>
        <w:tc>
          <w:tcPr>
            <w:tcW w:w="0" w:type="auto"/>
          </w:tcPr>
          <w:p w:rsidR="00076E84" w:rsidRPr="007C348E" w:rsidRDefault="00076E84" w:rsidP="00CF6359">
            <w:pPr>
              <w:jc w:val="right"/>
            </w:pPr>
            <w:r>
              <w:t>7.064.359</w:t>
            </w:r>
          </w:p>
        </w:tc>
      </w:tr>
      <w:tr w:rsidR="00076E84" w:rsidRPr="003E56AB" w:rsidTr="00CF6359">
        <w:tc>
          <w:tcPr>
            <w:tcW w:w="0" w:type="auto"/>
          </w:tcPr>
          <w:p w:rsidR="00076E84" w:rsidRPr="007C348E" w:rsidRDefault="00076E84" w:rsidP="00CF6359">
            <w:r w:rsidRPr="007C348E">
              <w:t>Javnozdravstvene ustanove</w:t>
            </w:r>
          </w:p>
        </w:tc>
        <w:tc>
          <w:tcPr>
            <w:tcW w:w="0" w:type="auto"/>
          </w:tcPr>
          <w:p w:rsidR="00076E84" w:rsidRPr="00720F0B" w:rsidRDefault="00076E84" w:rsidP="00CF6359">
            <w:pPr>
              <w:jc w:val="right"/>
            </w:pPr>
            <w:r w:rsidRPr="00720F0B">
              <w:t>1.235.890</w:t>
            </w:r>
          </w:p>
        </w:tc>
        <w:tc>
          <w:tcPr>
            <w:tcW w:w="0" w:type="auto"/>
          </w:tcPr>
          <w:p w:rsidR="00076E84" w:rsidRPr="007C348E" w:rsidRDefault="00076E84" w:rsidP="00CF6359">
            <w:pPr>
              <w:jc w:val="right"/>
            </w:pPr>
            <w:r>
              <w:t>60.847</w:t>
            </w:r>
          </w:p>
        </w:tc>
      </w:tr>
      <w:tr w:rsidR="00076E84" w:rsidRPr="003E56AB" w:rsidTr="00CF6359">
        <w:tc>
          <w:tcPr>
            <w:tcW w:w="0" w:type="auto"/>
          </w:tcPr>
          <w:p w:rsidR="00076E84" w:rsidRPr="007C348E" w:rsidRDefault="00076E84" w:rsidP="00CF6359">
            <w:r w:rsidRPr="007C348E">
              <w:t>GU za poljoprivredu i šumarstvo</w:t>
            </w:r>
          </w:p>
        </w:tc>
        <w:tc>
          <w:tcPr>
            <w:tcW w:w="0" w:type="auto"/>
          </w:tcPr>
          <w:p w:rsidR="00076E84" w:rsidRPr="00720F0B" w:rsidRDefault="00076E84" w:rsidP="00CF6359">
            <w:pPr>
              <w:jc w:val="right"/>
            </w:pPr>
            <w:r w:rsidRPr="00720F0B">
              <w:t>4.925.913</w:t>
            </w:r>
          </w:p>
        </w:tc>
        <w:tc>
          <w:tcPr>
            <w:tcW w:w="0" w:type="auto"/>
          </w:tcPr>
          <w:p w:rsidR="00076E84" w:rsidRPr="007C348E" w:rsidRDefault="00076E84" w:rsidP="00CF6359">
            <w:pPr>
              <w:jc w:val="right"/>
            </w:pPr>
            <w:r>
              <w:t>7.543.792</w:t>
            </w:r>
          </w:p>
        </w:tc>
      </w:tr>
      <w:tr w:rsidR="00076E84" w:rsidRPr="003E56AB" w:rsidTr="00CF6359">
        <w:tc>
          <w:tcPr>
            <w:tcW w:w="0" w:type="auto"/>
          </w:tcPr>
          <w:p w:rsidR="00076E84" w:rsidRPr="007C348E" w:rsidRDefault="00076E84" w:rsidP="00CF6359">
            <w:r w:rsidRPr="007C348E">
              <w:t>GU za prostorno uređenje, izgradnju grada, graditeljstvo, komunalne poslove i promet</w:t>
            </w:r>
          </w:p>
        </w:tc>
        <w:tc>
          <w:tcPr>
            <w:tcW w:w="0" w:type="auto"/>
          </w:tcPr>
          <w:p w:rsidR="00076E84" w:rsidRPr="00720F0B" w:rsidRDefault="00076E84" w:rsidP="00CF6359">
            <w:pPr>
              <w:jc w:val="right"/>
            </w:pPr>
            <w:r w:rsidRPr="00720F0B">
              <w:t>158.290.320</w:t>
            </w:r>
          </w:p>
        </w:tc>
        <w:tc>
          <w:tcPr>
            <w:tcW w:w="0" w:type="auto"/>
          </w:tcPr>
          <w:p w:rsidR="00076E84" w:rsidRPr="007C348E" w:rsidRDefault="00076E84" w:rsidP="00CF6359">
            <w:pPr>
              <w:jc w:val="right"/>
            </w:pPr>
            <w:r>
              <w:t>208.775.917</w:t>
            </w:r>
          </w:p>
        </w:tc>
      </w:tr>
      <w:tr w:rsidR="00076E84" w:rsidRPr="003E56AB" w:rsidTr="00CF6359">
        <w:tc>
          <w:tcPr>
            <w:tcW w:w="0" w:type="auto"/>
          </w:tcPr>
          <w:p w:rsidR="00076E84" w:rsidRPr="007C348E" w:rsidRDefault="00076E84" w:rsidP="00CF6359">
            <w:r w:rsidRPr="007C348E">
              <w:t>GU za imovinsko – pravne poslove i imovinu grada</w:t>
            </w:r>
          </w:p>
        </w:tc>
        <w:tc>
          <w:tcPr>
            <w:tcW w:w="0" w:type="auto"/>
          </w:tcPr>
          <w:p w:rsidR="00076E84" w:rsidRPr="00720F0B" w:rsidRDefault="00076E84" w:rsidP="00CF6359">
            <w:pPr>
              <w:jc w:val="right"/>
            </w:pPr>
            <w:r w:rsidRPr="00720F0B">
              <w:t>778.912.553</w:t>
            </w:r>
          </w:p>
        </w:tc>
        <w:tc>
          <w:tcPr>
            <w:tcW w:w="0" w:type="auto"/>
          </w:tcPr>
          <w:p w:rsidR="00076E84" w:rsidRPr="007C348E" w:rsidRDefault="00076E84" w:rsidP="00CF6359">
            <w:pPr>
              <w:jc w:val="right"/>
            </w:pPr>
            <w:r>
              <w:t>679.267.321</w:t>
            </w:r>
          </w:p>
        </w:tc>
      </w:tr>
      <w:tr w:rsidR="00076E84" w:rsidRPr="003E56AB" w:rsidTr="00CF6359">
        <w:tc>
          <w:tcPr>
            <w:tcW w:w="0" w:type="auto"/>
          </w:tcPr>
          <w:p w:rsidR="00076E84" w:rsidRPr="007C348E" w:rsidRDefault="00076E84" w:rsidP="00CF6359">
            <w:r w:rsidRPr="007C348E">
              <w:t>GU za katastar i geodetske poslove</w:t>
            </w:r>
          </w:p>
        </w:tc>
        <w:tc>
          <w:tcPr>
            <w:tcW w:w="0" w:type="auto"/>
          </w:tcPr>
          <w:p w:rsidR="00076E84" w:rsidRPr="00720F0B" w:rsidRDefault="00076E84" w:rsidP="00CF6359">
            <w:pPr>
              <w:jc w:val="right"/>
            </w:pPr>
            <w:r w:rsidRPr="00720F0B">
              <w:t>2.992.353</w:t>
            </w:r>
          </w:p>
        </w:tc>
        <w:tc>
          <w:tcPr>
            <w:tcW w:w="0" w:type="auto"/>
          </w:tcPr>
          <w:p w:rsidR="00076E84" w:rsidRPr="007C348E" w:rsidRDefault="00076E84" w:rsidP="00CF6359">
            <w:pPr>
              <w:jc w:val="right"/>
            </w:pPr>
            <w:r>
              <w:t>3.618.235</w:t>
            </w:r>
          </w:p>
        </w:tc>
      </w:tr>
      <w:tr w:rsidR="00076E84" w:rsidRPr="003E56AB" w:rsidTr="00CF6359">
        <w:tc>
          <w:tcPr>
            <w:tcW w:w="0" w:type="auto"/>
          </w:tcPr>
          <w:p w:rsidR="00076E84" w:rsidRPr="007C348E" w:rsidRDefault="00076E84" w:rsidP="00CF6359">
            <w:r w:rsidRPr="007C348E">
              <w:t>Ured za programe i projekte EU</w:t>
            </w:r>
          </w:p>
        </w:tc>
        <w:tc>
          <w:tcPr>
            <w:tcW w:w="0" w:type="auto"/>
          </w:tcPr>
          <w:p w:rsidR="00076E84" w:rsidRPr="00720F0B" w:rsidRDefault="00076E84" w:rsidP="00CF6359">
            <w:pPr>
              <w:jc w:val="right"/>
            </w:pPr>
            <w:r w:rsidRPr="00720F0B">
              <w:t>582.475</w:t>
            </w:r>
          </w:p>
        </w:tc>
        <w:tc>
          <w:tcPr>
            <w:tcW w:w="0" w:type="auto"/>
          </w:tcPr>
          <w:p w:rsidR="00076E84" w:rsidRPr="007C348E" w:rsidRDefault="00076E84" w:rsidP="00CF6359">
            <w:pPr>
              <w:jc w:val="right"/>
            </w:pPr>
            <w:r>
              <w:t>833.012</w:t>
            </w:r>
          </w:p>
        </w:tc>
      </w:tr>
      <w:tr w:rsidR="00076E84" w:rsidRPr="003E56AB" w:rsidTr="00CF6359">
        <w:tc>
          <w:tcPr>
            <w:tcW w:w="0" w:type="auto"/>
          </w:tcPr>
          <w:p w:rsidR="00076E84" w:rsidRPr="007C348E" w:rsidRDefault="00076E84" w:rsidP="00CF6359">
            <w:r w:rsidRPr="007C348E">
              <w:t>GU za branitelje</w:t>
            </w:r>
          </w:p>
        </w:tc>
        <w:tc>
          <w:tcPr>
            <w:tcW w:w="0" w:type="auto"/>
          </w:tcPr>
          <w:p w:rsidR="00076E84" w:rsidRPr="00720F0B" w:rsidRDefault="00076E84" w:rsidP="00CF6359">
            <w:pPr>
              <w:jc w:val="right"/>
            </w:pPr>
            <w:r w:rsidRPr="00720F0B">
              <w:t>2.258.581</w:t>
            </w:r>
          </w:p>
        </w:tc>
        <w:tc>
          <w:tcPr>
            <w:tcW w:w="0" w:type="auto"/>
          </w:tcPr>
          <w:p w:rsidR="00076E84" w:rsidRPr="007C348E" w:rsidRDefault="00076E84" w:rsidP="00CF6359">
            <w:pPr>
              <w:jc w:val="right"/>
            </w:pPr>
            <w:r>
              <w:t>1.883.199</w:t>
            </w:r>
          </w:p>
        </w:tc>
      </w:tr>
      <w:tr w:rsidR="00076E84" w:rsidRPr="003E56AB" w:rsidTr="00CF6359">
        <w:tc>
          <w:tcPr>
            <w:tcW w:w="0" w:type="auto"/>
          </w:tcPr>
          <w:p w:rsidR="00076E84" w:rsidRPr="007C348E" w:rsidRDefault="00076E84" w:rsidP="00CF6359">
            <w:r w:rsidRPr="007C348E">
              <w:t>GZ za zaštitu spomenika kulture i prirode</w:t>
            </w:r>
          </w:p>
        </w:tc>
        <w:tc>
          <w:tcPr>
            <w:tcW w:w="0" w:type="auto"/>
          </w:tcPr>
          <w:p w:rsidR="00076E84" w:rsidRPr="00720F0B" w:rsidRDefault="00076E84" w:rsidP="00CF6359">
            <w:pPr>
              <w:jc w:val="right"/>
            </w:pPr>
            <w:r w:rsidRPr="00720F0B">
              <w:t>863.261</w:t>
            </w:r>
          </w:p>
        </w:tc>
        <w:tc>
          <w:tcPr>
            <w:tcW w:w="0" w:type="auto"/>
          </w:tcPr>
          <w:p w:rsidR="00076E84" w:rsidRPr="007C348E" w:rsidRDefault="00076E84" w:rsidP="00CF6359">
            <w:pPr>
              <w:jc w:val="right"/>
            </w:pPr>
            <w:r>
              <w:t>989.167</w:t>
            </w:r>
          </w:p>
        </w:tc>
      </w:tr>
      <w:tr w:rsidR="00076E84" w:rsidRPr="003E56AB" w:rsidTr="00CF6359">
        <w:tc>
          <w:tcPr>
            <w:tcW w:w="0" w:type="auto"/>
          </w:tcPr>
          <w:p w:rsidR="00076E84" w:rsidRPr="007C348E" w:rsidRDefault="00076E84" w:rsidP="00CF6359">
            <w:r w:rsidRPr="007C348E">
              <w:t>Stručna služba Gradske skupštine Grada Zagreba</w:t>
            </w:r>
          </w:p>
        </w:tc>
        <w:tc>
          <w:tcPr>
            <w:tcW w:w="0" w:type="auto"/>
          </w:tcPr>
          <w:p w:rsidR="00076E84" w:rsidRPr="00720F0B" w:rsidRDefault="00076E84" w:rsidP="00CF6359">
            <w:pPr>
              <w:jc w:val="right"/>
            </w:pPr>
            <w:r w:rsidRPr="00720F0B">
              <w:t>3.500.569</w:t>
            </w:r>
          </w:p>
        </w:tc>
        <w:tc>
          <w:tcPr>
            <w:tcW w:w="0" w:type="auto"/>
          </w:tcPr>
          <w:p w:rsidR="00076E84" w:rsidRPr="007C348E" w:rsidRDefault="00076E84" w:rsidP="00CF6359">
            <w:pPr>
              <w:jc w:val="right"/>
            </w:pPr>
            <w:r>
              <w:t>1.951.505</w:t>
            </w:r>
          </w:p>
        </w:tc>
      </w:tr>
      <w:tr w:rsidR="00076E84" w:rsidRPr="003E56AB" w:rsidTr="00CF6359">
        <w:tc>
          <w:tcPr>
            <w:tcW w:w="0" w:type="auto"/>
          </w:tcPr>
          <w:p w:rsidR="00076E84" w:rsidRPr="007C348E" w:rsidRDefault="00076E84" w:rsidP="00CF6359">
            <w:r w:rsidRPr="007C348E">
              <w:t>Ured za upravljanje u hitnim situacijama</w:t>
            </w:r>
          </w:p>
        </w:tc>
        <w:tc>
          <w:tcPr>
            <w:tcW w:w="0" w:type="auto"/>
          </w:tcPr>
          <w:p w:rsidR="00076E84" w:rsidRPr="00720F0B" w:rsidRDefault="00076E84" w:rsidP="00CF6359">
            <w:pPr>
              <w:jc w:val="right"/>
            </w:pPr>
            <w:r w:rsidRPr="00720F0B">
              <w:t>1.843.429</w:t>
            </w:r>
          </w:p>
        </w:tc>
        <w:tc>
          <w:tcPr>
            <w:tcW w:w="0" w:type="auto"/>
          </w:tcPr>
          <w:p w:rsidR="00076E84" w:rsidRPr="007C348E" w:rsidRDefault="00076E84" w:rsidP="00CF6359">
            <w:pPr>
              <w:jc w:val="right"/>
            </w:pPr>
            <w:r>
              <w:t>1.925.802</w:t>
            </w:r>
          </w:p>
        </w:tc>
      </w:tr>
      <w:tr w:rsidR="00076E84" w:rsidRPr="003E56AB" w:rsidTr="00CF6359">
        <w:tc>
          <w:tcPr>
            <w:tcW w:w="0" w:type="auto"/>
          </w:tcPr>
          <w:p w:rsidR="00076E84" w:rsidRPr="007C348E" w:rsidRDefault="00076E84" w:rsidP="00CF6359">
            <w:r w:rsidRPr="007C348E">
              <w:t>Stručna služba gradonačelnika</w:t>
            </w:r>
          </w:p>
        </w:tc>
        <w:tc>
          <w:tcPr>
            <w:tcW w:w="0" w:type="auto"/>
          </w:tcPr>
          <w:p w:rsidR="00076E84" w:rsidRPr="00720F0B" w:rsidRDefault="00076E84" w:rsidP="00CF6359">
            <w:pPr>
              <w:jc w:val="right"/>
            </w:pPr>
            <w:r w:rsidRPr="00720F0B">
              <w:t>13.457.430</w:t>
            </w:r>
          </w:p>
        </w:tc>
        <w:tc>
          <w:tcPr>
            <w:tcW w:w="0" w:type="auto"/>
          </w:tcPr>
          <w:p w:rsidR="00076E84" w:rsidRPr="007C348E" w:rsidRDefault="00076E84" w:rsidP="00CF6359">
            <w:pPr>
              <w:jc w:val="right"/>
            </w:pPr>
            <w:r>
              <w:t>12.718.310</w:t>
            </w:r>
          </w:p>
        </w:tc>
      </w:tr>
      <w:tr w:rsidR="00076E84" w:rsidRPr="003E56AB" w:rsidTr="00CF6359">
        <w:tc>
          <w:tcPr>
            <w:tcW w:w="0" w:type="auto"/>
          </w:tcPr>
          <w:p w:rsidR="00076E84" w:rsidRPr="007C348E" w:rsidRDefault="00076E84" w:rsidP="00CF6359">
            <w:r w:rsidRPr="007C348E">
              <w:t>GU za socijalnu zaštitu i osobe s invaliditetom</w:t>
            </w:r>
          </w:p>
        </w:tc>
        <w:tc>
          <w:tcPr>
            <w:tcW w:w="0" w:type="auto"/>
          </w:tcPr>
          <w:p w:rsidR="00076E84" w:rsidRPr="00720F0B" w:rsidRDefault="00076E84" w:rsidP="00CF6359">
            <w:pPr>
              <w:jc w:val="right"/>
            </w:pPr>
            <w:r w:rsidRPr="00720F0B">
              <w:t>4.685.685</w:t>
            </w:r>
          </w:p>
        </w:tc>
        <w:tc>
          <w:tcPr>
            <w:tcW w:w="0" w:type="auto"/>
          </w:tcPr>
          <w:p w:rsidR="00076E84" w:rsidRPr="007C348E" w:rsidRDefault="00076E84" w:rsidP="00CF6359">
            <w:pPr>
              <w:jc w:val="right"/>
            </w:pPr>
            <w:r>
              <w:t>9.528.196</w:t>
            </w:r>
          </w:p>
        </w:tc>
      </w:tr>
      <w:tr w:rsidR="00076E84" w:rsidRPr="003E56AB" w:rsidTr="00CF6359">
        <w:tc>
          <w:tcPr>
            <w:tcW w:w="0" w:type="auto"/>
          </w:tcPr>
          <w:p w:rsidR="00076E84" w:rsidRPr="007C348E" w:rsidRDefault="00076E84" w:rsidP="00CF6359">
            <w:r w:rsidRPr="007C348E">
              <w:t>Ustanove socijalne zaštite</w:t>
            </w:r>
          </w:p>
        </w:tc>
        <w:tc>
          <w:tcPr>
            <w:tcW w:w="0" w:type="auto"/>
          </w:tcPr>
          <w:p w:rsidR="00076E84" w:rsidRPr="00720F0B" w:rsidRDefault="00076E84" w:rsidP="00CF6359">
            <w:pPr>
              <w:jc w:val="right"/>
            </w:pPr>
            <w:r w:rsidRPr="00720F0B">
              <w:t>68.400</w:t>
            </w:r>
          </w:p>
        </w:tc>
        <w:tc>
          <w:tcPr>
            <w:tcW w:w="0" w:type="auto"/>
          </w:tcPr>
          <w:p w:rsidR="00076E84" w:rsidRPr="007C348E" w:rsidRDefault="00076E84" w:rsidP="00CF6359">
            <w:pPr>
              <w:jc w:val="right"/>
            </w:pPr>
            <w:r>
              <w:t>75.050</w:t>
            </w:r>
          </w:p>
        </w:tc>
      </w:tr>
      <w:tr w:rsidR="00076E84" w:rsidRPr="003E56AB" w:rsidTr="00CF6359">
        <w:tc>
          <w:tcPr>
            <w:tcW w:w="0" w:type="auto"/>
          </w:tcPr>
          <w:p w:rsidR="00076E84" w:rsidRPr="007C348E" w:rsidRDefault="00076E84" w:rsidP="00CF6359">
            <w:r w:rsidRPr="007C348E">
              <w:t xml:space="preserve">GU za </w:t>
            </w:r>
            <w:r>
              <w:t>demografiju</w:t>
            </w:r>
          </w:p>
        </w:tc>
        <w:tc>
          <w:tcPr>
            <w:tcW w:w="0" w:type="auto"/>
          </w:tcPr>
          <w:p w:rsidR="00076E84" w:rsidRPr="00720F0B" w:rsidRDefault="00076E84" w:rsidP="00CF6359">
            <w:pPr>
              <w:jc w:val="right"/>
            </w:pPr>
            <w:r>
              <w:t>0</w:t>
            </w:r>
          </w:p>
        </w:tc>
        <w:tc>
          <w:tcPr>
            <w:tcW w:w="0" w:type="auto"/>
          </w:tcPr>
          <w:p w:rsidR="00076E84" w:rsidRPr="007C348E" w:rsidRDefault="00076E84" w:rsidP="00CF6359">
            <w:pPr>
              <w:jc w:val="right"/>
            </w:pPr>
            <w:r>
              <w:t>1.819.857</w:t>
            </w:r>
          </w:p>
        </w:tc>
      </w:tr>
      <w:tr w:rsidR="00076E84" w:rsidRPr="003E56AB" w:rsidTr="00CF6359">
        <w:tc>
          <w:tcPr>
            <w:tcW w:w="0" w:type="auto"/>
          </w:tcPr>
          <w:p w:rsidR="00076E84" w:rsidRPr="007C348E" w:rsidRDefault="00076E84" w:rsidP="00CF6359">
            <w:r>
              <w:t>GU za kulturu</w:t>
            </w:r>
          </w:p>
        </w:tc>
        <w:tc>
          <w:tcPr>
            <w:tcW w:w="0" w:type="auto"/>
          </w:tcPr>
          <w:p w:rsidR="00076E84" w:rsidRDefault="00076E84" w:rsidP="00CF6359">
            <w:pPr>
              <w:jc w:val="right"/>
            </w:pPr>
            <w:r>
              <w:t>9.900</w:t>
            </w:r>
          </w:p>
        </w:tc>
        <w:tc>
          <w:tcPr>
            <w:tcW w:w="0" w:type="auto"/>
          </w:tcPr>
          <w:p w:rsidR="00076E84" w:rsidRDefault="00076E84" w:rsidP="00CF6359">
            <w:pPr>
              <w:jc w:val="right"/>
            </w:pPr>
            <w:r>
              <w:t>551.721</w:t>
            </w:r>
          </w:p>
        </w:tc>
      </w:tr>
      <w:tr w:rsidR="00076E84" w:rsidRPr="003E56AB" w:rsidTr="00CF6359">
        <w:tc>
          <w:tcPr>
            <w:tcW w:w="0" w:type="auto"/>
          </w:tcPr>
          <w:p w:rsidR="00076E84" w:rsidRDefault="00076E84" w:rsidP="00CF6359">
            <w:r w:rsidRPr="007F4445">
              <w:t>Djelatnost kulture</w:t>
            </w:r>
            <w:r w:rsidRPr="007F4445">
              <w:tab/>
            </w:r>
          </w:p>
        </w:tc>
        <w:tc>
          <w:tcPr>
            <w:tcW w:w="0" w:type="auto"/>
          </w:tcPr>
          <w:p w:rsidR="00076E84" w:rsidRDefault="00076E84" w:rsidP="00CF6359">
            <w:pPr>
              <w:jc w:val="right"/>
            </w:pPr>
            <w:r>
              <w:t>1.392.815</w:t>
            </w:r>
          </w:p>
        </w:tc>
        <w:tc>
          <w:tcPr>
            <w:tcW w:w="0" w:type="auto"/>
          </w:tcPr>
          <w:p w:rsidR="00076E84" w:rsidRDefault="00076E84" w:rsidP="00CF6359">
            <w:pPr>
              <w:jc w:val="right"/>
            </w:pPr>
            <w:r>
              <w:t>696.500</w:t>
            </w:r>
          </w:p>
        </w:tc>
      </w:tr>
      <w:tr w:rsidR="00076E84" w:rsidRPr="003E56AB" w:rsidTr="00CF6359">
        <w:tc>
          <w:tcPr>
            <w:tcW w:w="0" w:type="auto"/>
          </w:tcPr>
          <w:p w:rsidR="00076E84" w:rsidRPr="007F4445" w:rsidRDefault="00076E84" w:rsidP="00CF6359">
            <w:r>
              <w:t>GU za sport i mlade</w:t>
            </w:r>
          </w:p>
        </w:tc>
        <w:tc>
          <w:tcPr>
            <w:tcW w:w="0" w:type="auto"/>
          </w:tcPr>
          <w:p w:rsidR="00076E84" w:rsidRDefault="00076E84" w:rsidP="00CF6359">
            <w:pPr>
              <w:jc w:val="right"/>
            </w:pPr>
            <w:r>
              <w:t>0</w:t>
            </w:r>
          </w:p>
        </w:tc>
        <w:tc>
          <w:tcPr>
            <w:tcW w:w="0" w:type="auto"/>
          </w:tcPr>
          <w:p w:rsidR="00076E84" w:rsidRDefault="00076E84" w:rsidP="00CF6359">
            <w:pPr>
              <w:jc w:val="right"/>
            </w:pPr>
            <w:r>
              <w:t>8.160.774</w:t>
            </w:r>
          </w:p>
        </w:tc>
      </w:tr>
      <w:tr w:rsidR="00076E84" w:rsidRPr="003E56AB" w:rsidTr="00CF6359">
        <w:tc>
          <w:tcPr>
            <w:tcW w:w="0" w:type="auto"/>
          </w:tcPr>
          <w:p w:rsidR="00076E84" w:rsidRDefault="00076E84" w:rsidP="00CF6359">
            <w:r>
              <w:t>Djelatnost sporta</w:t>
            </w:r>
          </w:p>
        </w:tc>
        <w:tc>
          <w:tcPr>
            <w:tcW w:w="0" w:type="auto"/>
          </w:tcPr>
          <w:p w:rsidR="00076E84" w:rsidRDefault="00076E84" w:rsidP="00CF6359">
            <w:pPr>
              <w:jc w:val="right"/>
            </w:pPr>
            <w:r>
              <w:t>17.582.604</w:t>
            </w:r>
          </w:p>
        </w:tc>
        <w:tc>
          <w:tcPr>
            <w:tcW w:w="0" w:type="auto"/>
          </w:tcPr>
          <w:p w:rsidR="00076E84" w:rsidRDefault="00076E84" w:rsidP="00CF6359">
            <w:pPr>
              <w:jc w:val="right"/>
            </w:pPr>
            <w:r>
              <w:t>8.375.771</w:t>
            </w:r>
          </w:p>
        </w:tc>
      </w:tr>
      <w:tr w:rsidR="00076E84" w:rsidRPr="003E56AB" w:rsidTr="00CF6359">
        <w:tc>
          <w:tcPr>
            <w:tcW w:w="0" w:type="auto"/>
          </w:tcPr>
          <w:p w:rsidR="00076E84" w:rsidRDefault="00076E84" w:rsidP="00CF6359">
            <w:r w:rsidRPr="00F43D61">
              <w:t>Ured za međugradsku i međunarodnu suradnju i promicanje ljudskih prava</w:t>
            </w:r>
          </w:p>
        </w:tc>
        <w:tc>
          <w:tcPr>
            <w:tcW w:w="0" w:type="auto"/>
          </w:tcPr>
          <w:p w:rsidR="00076E84" w:rsidRDefault="00076E84" w:rsidP="00CF6359">
            <w:pPr>
              <w:jc w:val="right"/>
            </w:pPr>
            <w:r>
              <w:t>0</w:t>
            </w:r>
          </w:p>
        </w:tc>
        <w:tc>
          <w:tcPr>
            <w:tcW w:w="0" w:type="auto"/>
          </w:tcPr>
          <w:p w:rsidR="00076E84" w:rsidRDefault="00076E84" w:rsidP="00CF6359">
            <w:pPr>
              <w:jc w:val="right"/>
            </w:pPr>
            <w:r>
              <w:t>705.998</w:t>
            </w:r>
          </w:p>
        </w:tc>
      </w:tr>
      <w:tr w:rsidR="00076E84" w:rsidRPr="003E56AB" w:rsidTr="00CF6359">
        <w:tc>
          <w:tcPr>
            <w:tcW w:w="0" w:type="auto"/>
          </w:tcPr>
          <w:p w:rsidR="00076E84" w:rsidRPr="003E56AB" w:rsidRDefault="00076E84" w:rsidP="00CF6359">
            <w:pPr>
              <w:rPr>
                <w:b/>
              </w:rPr>
            </w:pPr>
            <w:r>
              <w:rPr>
                <w:b/>
              </w:rPr>
              <w:lastRenderedPageBreak/>
              <w:t>Proračun Grada Zagreba</w:t>
            </w:r>
          </w:p>
        </w:tc>
        <w:tc>
          <w:tcPr>
            <w:tcW w:w="0" w:type="auto"/>
          </w:tcPr>
          <w:p w:rsidR="00076E84" w:rsidRPr="00720F0B" w:rsidRDefault="00076E84" w:rsidP="00CF6359">
            <w:pPr>
              <w:jc w:val="right"/>
            </w:pPr>
          </w:p>
        </w:tc>
        <w:tc>
          <w:tcPr>
            <w:tcW w:w="0" w:type="auto"/>
          </w:tcPr>
          <w:p w:rsidR="00076E84" w:rsidRPr="003E56AB" w:rsidRDefault="00076E84" w:rsidP="00CF6359">
            <w:pPr>
              <w:jc w:val="right"/>
              <w:rPr>
                <w:b/>
              </w:rPr>
            </w:pPr>
          </w:p>
        </w:tc>
      </w:tr>
      <w:tr w:rsidR="00076E84" w:rsidRPr="00A6387C" w:rsidTr="00CF6359">
        <w:tc>
          <w:tcPr>
            <w:tcW w:w="0" w:type="auto"/>
          </w:tcPr>
          <w:p w:rsidR="00076E84" w:rsidRPr="00A6387C" w:rsidRDefault="00076E84" w:rsidP="00CF6359">
            <w:r>
              <w:t>Obveze za ostale naknade građanima i kućanstvima u novcu</w:t>
            </w:r>
          </w:p>
        </w:tc>
        <w:tc>
          <w:tcPr>
            <w:tcW w:w="0" w:type="auto"/>
          </w:tcPr>
          <w:p w:rsidR="00076E84" w:rsidRPr="00720F0B" w:rsidRDefault="00076E84" w:rsidP="00CF6359">
            <w:pPr>
              <w:jc w:val="right"/>
            </w:pPr>
            <w:r w:rsidRPr="00720F0B">
              <w:t>122.250</w:t>
            </w:r>
          </w:p>
        </w:tc>
        <w:tc>
          <w:tcPr>
            <w:tcW w:w="0" w:type="auto"/>
          </w:tcPr>
          <w:p w:rsidR="00076E84" w:rsidRDefault="00076E84" w:rsidP="00CF6359">
            <w:pPr>
              <w:jc w:val="right"/>
            </w:pPr>
            <w:r>
              <w:t>80.300</w:t>
            </w:r>
          </w:p>
        </w:tc>
      </w:tr>
      <w:tr w:rsidR="00076E84" w:rsidRPr="00A6387C" w:rsidTr="00CF6359">
        <w:tc>
          <w:tcPr>
            <w:tcW w:w="0" w:type="auto"/>
          </w:tcPr>
          <w:p w:rsidR="00076E84" w:rsidRPr="00A6387C" w:rsidRDefault="00076E84" w:rsidP="00CF6359">
            <w:r>
              <w:t>Obveze za PDV po obračunu</w:t>
            </w:r>
          </w:p>
        </w:tc>
        <w:tc>
          <w:tcPr>
            <w:tcW w:w="0" w:type="auto"/>
          </w:tcPr>
          <w:p w:rsidR="00076E84" w:rsidRPr="00720F0B" w:rsidRDefault="00076E84" w:rsidP="00CF6359">
            <w:pPr>
              <w:jc w:val="right"/>
            </w:pPr>
            <w:r w:rsidRPr="00720F0B">
              <w:t>64.190.656</w:t>
            </w:r>
          </w:p>
        </w:tc>
        <w:tc>
          <w:tcPr>
            <w:tcW w:w="0" w:type="auto"/>
          </w:tcPr>
          <w:p w:rsidR="00076E84" w:rsidRDefault="00076E84" w:rsidP="00CF6359">
            <w:pPr>
              <w:jc w:val="right"/>
            </w:pPr>
            <w:r>
              <w:t>46.801.641</w:t>
            </w:r>
          </w:p>
        </w:tc>
      </w:tr>
      <w:tr w:rsidR="00076E84" w:rsidRPr="00A6387C" w:rsidTr="00CF6359">
        <w:tc>
          <w:tcPr>
            <w:tcW w:w="0" w:type="auto"/>
          </w:tcPr>
          <w:p w:rsidR="00076E84" w:rsidRPr="00A6387C" w:rsidRDefault="00076E84" w:rsidP="00CF6359">
            <w:r>
              <w:t>Obveze prema Hrvatskom zavodu za zapošljavanje – javni radovi</w:t>
            </w:r>
          </w:p>
        </w:tc>
        <w:tc>
          <w:tcPr>
            <w:tcW w:w="0" w:type="auto"/>
          </w:tcPr>
          <w:p w:rsidR="00076E84" w:rsidRPr="00720F0B" w:rsidRDefault="00076E84" w:rsidP="00CF6359">
            <w:pPr>
              <w:jc w:val="right"/>
            </w:pPr>
            <w:r w:rsidRPr="00720F0B">
              <w:t>2.803</w:t>
            </w:r>
          </w:p>
        </w:tc>
        <w:tc>
          <w:tcPr>
            <w:tcW w:w="0" w:type="auto"/>
          </w:tcPr>
          <w:p w:rsidR="00076E84" w:rsidRDefault="00076E84" w:rsidP="00CF6359">
            <w:pPr>
              <w:jc w:val="right"/>
            </w:pPr>
            <w:r>
              <w:t>236.575</w:t>
            </w:r>
          </w:p>
        </w:tc>
      </w:tr>
      <w:tr w:rsidR="00076E84" w:rsidRPr="00A6387C" w:rsidTr="00CF6359">
        <w:tc>
          <w:tcPr>
            <w:tcW w:w="0" w:type="auto"/>
          </w:tcPr>
          <w:p w:rsidR="00076E84" w:rsidRPr="00A6387C" w:rsidRDefault="00076E84" w:rsidP="00CF6359">
            <w:r>
              <w:t>Ostale nespomenute obveze – tekuće pomoći iz državnog proračuna</w:t>
            </w:r>
          </w:p>
        </w:tc>
        <w:tc>
          <w:tcPr>
            <w:tcW w:w="0" w:type="auto"/>
          </w:tcPr>
          <w:p w:rsidR="00076E84" w:rsidRPr="00720F0B" w:rsidRDefault="00076E84" w:rsidP="00CF6359">
            <w:pPr>
              <w:jc w:val="right"/>
            </w:pPr>
            <w:r w:rsidRPr="00720F0B">
              <w:t>0</w:t>
            </w:r>
          </w:p>
        </w:tc>
        <w:tc>
          <w:tcPr>
            <w:tcW w:w="0" w:type="auto"/>
          </w:tcPr>
          <w:p w:rsidR="00076E84" w:rsidRDefault="00076E84" w:rsidP="00CF6359">
            <w:pPr>
              <w:jc w:val="right"/>
            </w:pPr>
          </w:p>
        </w:tc>
      </w:tr>
      <w:tr w:rsidR="00076E84" w:rsidRPr="00A6387C" w:rsidTr="00CF6359">
        <w:tc>
          <w:tcPr>
            <w:tcW w:w="0" w:type="auto"/>
          </w:tcPr>
          <w:p w:rsidR="00076E84" w:rsidRPr="00A6387C" w:rsidRDefault="00076E84" w:rsidP="00CF6359">
            <w:r>
              <w:t>Obveze za EU predujmove – „ZAGEE“</w:t>
            </w:r>
          </w:p>
        </w:tc>
        <w:tc>
          <w:tcPr>
            <w:tcW w:w="0" w:type="auto"/>
          </w:tcPr>
          <w:p w:rsidR="00076E84" w:rsidRPr="00720F0B" w:rsidRDefault="00076E84" w:rsidP="00CF6359">
            <w:pPr>
              <w:jc w:val="right"/>
            </w:pPr>
            <w:r w:rsidRPr="00720F0B">
              <w:t>701.842</w:t>
            </w:r>
          </w:p>
        </w:tc>
        <w:tc>
          <w:tcPr>
            <w:tcW w:w="0" w:type="auto"/>
          </w:tcPr>
          <w:p w:rsidR="00076E84" w:rsidRDefault="00076E84" w:rsidP="00CF6359">
            <w:pPr>
              <w:jc w:val="right"/>
            </w:pPr>
            <w:r>
              <w:t>0</w:t>
            </w:r>
          </w:p>
        </w:tc>
      </w:tr>
      <w:tr w:rsidR="00076E84" w:rsidRPr="00A6387C" w:rsidTr="00CF6359">
        <w:tc>
          <w:tcPr>
            <w:tcW w:w="0" w:type="auto"/>
          </w:tcPr>
          <w:p w:rsidR="00076E84" w:rsidRPr="00A6387C" w:rsidRDefault="00076E84" w:rsidP="00CF6359">
            <w:r>
              <w:t>Obveze za EU predujmove – „MAYORS IN ACTION“</w:t>
            </w:r>
          </w:p>
        </w:tc>
        <w:tc>
          <w:tcPr>
            <w:tcW w:w="0" w:type="auto"/>
          </w:tcPr>
          <w:p w:rsidR="00076E84" w:rsidRPr="00720F0B" w:rsidRDefault="00076E84" w:rsidP="00CF6359">
            <w:pPr>
              <w:jc w:val="right"/>
            </w:pPr>
            <w:r w:rsidRPr="00720F0B">
              <w:t>75.238</w:t>
            </w:r>
          </w:p>
        </w:tc>
        <w:tc>
          <w:tcPr>
            <w:tcW w:w="0" w:type="auto"/>
          </w:tcPr>
          <w:p w:rsidR="00076E84" w:rsidRDefault="00076E84" w:rsidP="00CF6359">
            <w:pPr>
              <w:jc w:val="right"/>
            </w:pPr>
            <w:r>
              <w:t>0</w:t>
            </w:r>
          </w:p>
        </w:tc>
      </w:tr>
      <w:tr w:rsidR="00076E84" w:rsidRPr="00A6387C" w:rsidTr="00CF6359">
        <w:tc>
          <w:tcPr>
            <w:tcW w:w="0" w:type="auto"/>
          </w:tcPr>
          <w:p w:rsidR="00076E84" w:rsidRPr="00A6387C" w:rsidRDefault="00076E84" w:rsidP="00CF6359">
            <w:r>
              <w:t>Obveze za EU predujmove – „URBAN LEARNING“</w:t>
            </w:r>
          </w:p>
        </w:tc>
        <w:tc>
          <w:tcPr>
            <w:tcW w:w="0" w:type="auto"/>
          </w:tcPr>
          <w:p w:rsidR="00076E84" w:rsidRPr="00720F0B" w:rsidRDefault="00076E84" w:rsidP="00CF6359">
            <w:pPr>
              <w:jc w:val="right"/>
            </w:pPr>
            <w:r w:rsidRPr="00720F0B">
              <w:t>182.178</w:t>
            </w:r>
          </w:p>
        </w:tc>
        <w:tc>
          <w:tcPr>
            <w:tcW w:w="0" w:type="auto"/>
          </w:tcPr>
          <w:p w:rsidR="00076E84" w:rsidRDefault="00076E84" w:rsidP="00CF6359">
            <w:pPr>
              <w:jc w:val="right"/>
            </w:pPr>
            <w:r>
              <w:t>0</w:t>
            </w:r>
          </w:p>
        </w:tc>
      </w:tr>
      <w:tr w:rsidR="00076E84" w:rsidRPr="00A6387C" w:rsidTr="00CF6359">
        <w:tc>
          <w:tcPr>
            <w:tcW w:w="0" w:type="auto"/>
          </w:tcPr>
          <w:p w:rsidR="00076E84" w:rsidRPr="00A6387C" w:rsidRDefault="00076E84" w:rsidP="00CF6359">
            <w:r>
              <w:t>Obveze za EU predujmove – „CITYKEYS“</w:t>
            </w:r>
          </w:p>
        </w:tc>
        <w:tc>
          <w:tcPr>
            <w:tcW w:w="0" w:type="auto"/>
          </w:tcPr>
          <w:p w:rsidR="00076E84" w:rsidRPr="00720F0B" w:rsidRDefault="00076E84" w:rsidP="00CF6359">
            <w:pPr>
              <w:jc w:val="right"/>
            </w:pPr>
            <w:r w:rsidRPr="00720F0B">
              <w:t>36.034</w:t>
            </w:r>
          </w:p>
        </w:tc>
        <w:tc>
          <w:tcPr>
            <w:tcW w:w="0" w:type="auto"/>
          </w:tcPr>
          <w:p w:rsidR="00076E84" w:rsidRDefault="00076E84" w:rsidP="00CF6359">
            <w:pPr>
              <w:jc w:val="right"/>
            </w:pPr>
            <w:r>
              <w:t>0</w:t>
            </w:r>
          </w:p>
        </w:tc>
      </w:tr>
      <w:tr w:rsidR="00076E84" w:rsidRPr="00A6387C" w:rsidTr="00CF6359">
        <w:tc>
          <w:tcPr>
            <w:tcW w:w="0" w:type="auto"/>
          </w:tcPr>
          <w:p w:rsidR="00076E84" w:rsidRPr="00A6387C" w:rsidRDefault="00076E84" w:rsidP="00CF6359">
            <w:r>
              <w:t>Obveze za EU predujmove – „SOCIALCAR“</w:t>
            </w:r>
          </w:p>
        </w:tc>
        <w:tc>
          <w:tcPr>
            <w:tcW w:w="0" w:type="auto"/>
          </w:tcPr>
          <w:p w:rsidR="00076E84" w:rsidRPr="00720F0B" w:rsidRDefault="00076E84" w:rsidP="00CF6359">
            <w:pPr>
              <w:jc w:val="right"/>
            </w:pPr>
            <w:r w:rsidRPr="00720F0B">
              <w:t>48.228</w:t>
            </w:r>
          </w:p>
        </w:tc>
        <w:tc>
          <w:tcPr>
            <w:tcW w:w="0" w:type="auto"/>
          </w:tcPr>
          <w:p w:rsidR="00076E84" w:rsidRDefault="00076E84" w:rsidP="00CF6359">
            <w:pPr>
              <w:jc w:val="right"/>
            </w:pPr>
            <w:r>
              <w:t>0</w:t>
            </w:r>
          </w:p>
        </w:tc>
      </w:tr>
      <w:tr w:rsidR="00076E84" w:rsidRPr="00A6387C" w:rsidTr="00CF6359">
        <w:tc>
          <w:tcPr>
            <w:tcW w:w="0" w:type="auto"/>
          </w:tcPr>
          <w:p w:rsidR="00076E84" w:rsidRPr="00A6387C" w:rsidRDefault="00076E84" w:rsidP="00CF6359">
            <w:r>
              <w:t>Obveze za EU predujmove – „STRATEŠKA PARTNERSTVA MLADIH“</w:t>
            </w:r>
          </w:p>
        </w:tc>
        <w:tc>
          <w:tcPr>
            <w:tcW w:w="0" w:type="auto"/>
          </w:tcPr>
          <w:p w:rsidR="00076E84" w:rsidRPr="00720F0B" w:rsidRDefault="00076E84" w:rsidP="00CF6359">
            <w:pPr>
              <w:jc w:val="right"/>
            </w:pPr>
            <w:r w:rsidRPr="00720F0B">
              <w:t>13.824</w:t>
            </w:r>
          </w:p>
        </w:tc>
        <w:tc>
          <w:tcPr>
            <w:tcW w:w="0" w:type="auto"/>
          </w:tcPr>
          <w:p w:rsidR="00076E84" w:rsidRDefault="00076E84" w:rsidP="00CF6359">
            <w:pPr>
              <w:jc w:val="right"/>
            </w:pPr>
            <w:r>
              <w:t>0</w:t>
            </w:r>
          </w:p>
        </w:tc>
      </w:tr>
      <w:tr w:rsidR="00076E84" w:rsidRPr="00A6387C" w:rsidTr="00CF6359">
        <w:tc>
          <w:tcPr>
            <w:tcW w:w="0" w:type="auto"/>
          </w:tcPr>
          <w:p w:rsidR="00076E84" w:rsidRDefault="00076E84" w:rsidP="00CF6359">
            <w:pPr>
              <w:rPr>
                <w:b/>
              </w:rPr>
            </w:pPr>
            <w:r>
              <w:t>Obveze za EU predujmove – „Provedba ITU mehanizma</w:t>
            </w:r>
          </w:p>
        </w:tc>
        <w:tc>
          <w:tcPr>
            <w:tcW w:w="0" w:type="auto"/>
          </w:tcPr>
          <w:p w:rsidR="00076E84" w:rsidRPr="00720F0B" w:rsidRDefault="00076E84" w:rsidP="00CF6359">
            <w:pPr>
              <w:jc w:val="right"/>
            </w:pPr>
            <w:r w:rsidRPr="00720F0B">
              <w:t>183.280</w:t>
            </w:r>
          </w:p>
        </w:tc>
        <w:tc>
          <w:tcPr>
            <w:tcW w:w="0" w:type="auto"/>
          </w:tcPr>
          <w:p w:rsidR="00076E84" w:rsidRPr="006E57E4" w:rsidRDefault="00076E84" w:rsidP="00CF6359">
            <w:pPr>
              <w:jc w:val="right"/>
            </w:pPr>
            <w:r>
              <w:t>0</w:t>
            </w:r>
          </w:p>
        </w:tc>
      </w:tr>
      <w:tr w:rsidR="00076E84" w:rsidRPr="00A6387C" w:rsidTr="00CF6359">
        <w:tc>
          <w:tcPr>
            <w:tcW w:w="0" w:type="auto"/>
          </w:tcPr>
          <w:p w:rsidR="00076E84" w:rsidRDefault="00076E84" w:rsidP="00CF6359">
            <w:r>
              <w:t>Obveze za EU predujmove – „Republeec“</w:t>
            </w:r>
          </w:p>
        </w:tc>
        <w:tc>
          <w:tcPr>
            <w:tcW w:w="0" w:type="auto"/>
          </w:tcPr>
          <w:p w:rsidR="00076E84" w:rsidRPr="00720F0B" w:rsidRDefault="00076E84" w:rsidP="00CF6359">
            <w:pPr>
              <w:jc w:val="right"/>
            </w:pPr>
            <w:r>
              <w:t>0</w:t>
            </w:r>
          </w:p>
        </w:tc>
        <w:tc>
          <w:tcPr>
            <w:tcW w:w="0" w:type="auto"/>
          </w:tcPr>
          <w:p w:rsidR="00076E84" w:rsidRDefault="00076E84" w:rsidP="00CF6359">
            <w:pPr>
              <w:jc w:val="right"/>
            </w:pPr>
            <w:r>
              <w:t>2.746.500</w:t>
            </w:r>
          </w:p>
        </w:tc>
      </w:tr>
      <w:tr w:rsidR="00076E84" w:rsidRPr="00A6387C" w:rsidTr="00CF6359">
        <w:tc>
          <w:tcPr>
            <w:tcW w:w="0" w:type="auto"/>
          </w:tcPr>
          <w:p w:rsidR="00076E84" w:rsidRDefault="00076E84" w:rsidP="00CF6359">
            <w:r w:rsidRPr="00C50C40">
              <w:t>Obveze za EU predujmove – „</w:t>
            </w:r>
            <w:r>
              <w:t>Progireg</w:t>
            </w:r>
            <w:r w:rsidRPr="00C50C40">
              <w:t>“</w:t>
            </w:r>
          </w:p>
        </w:tc>
        <w:tc>
          <w:tcPr>
            <w:tcW w:w="0" w:type="auto"/>
          </w:tcPr>
          <w:p w:rsidR="00076E84" w:rsidRDefault="00076E84" w:rsidP="00CF6359">
            <w:pPr>
              <w:jc w:val="right"/>
            </w:pPr>
            <w:r>
              <w:t>0</w:t>
            </w:r>
          </w:p>
        </w:tc>
        <w:tc>
          <w:tcPr>
            <w:tcW w:w="0" w:type="auto"/>
          </w:tcPr>
          <w:p w:rsidR="00076E84" w:rsidRDefault="00076E84" w:rsidP="00CF6359">
            <w:pPr>
              <w:jc w:val="right"/>
            </w:pPr>
            <w:r>
              <w:t>3.762.654</w:t>
            </w:r>
          </w:p>
        </w:tc>
      </w:tr>
      <w:tr w:rsidR="00076E84" w:rsidRPr="00A6387C" w:rsidTr="00CF6359">
        <w:tc>
          <w:tcPr>
            <w:tcW w:w="0" w:type="auto"/>
          </w:tcPr>
          <w:p w:rsidR="00076E84" w:rsidRPr="00C50C40" w:rsidRDefault="00076E84" w:rsidP="00CF6359">
            <w:r w:rsidRPr="00F918B0">
              <w:t>Obveze za EU predujmove – „</w:t>
            </w:r>
            <w:r>
              <w:t>A.S.A.P. – sustavni pristup počiniteljima</w:t>
            </w:r>
            <w:r w:rsidRPr="00F918B0">
              <w:t>“</w:t>
            </w:r>
          </w:p>
        </w:tc>
        <w:tc>
          <w:tcPr>
            <w:tcW w:w="0" w:type="auto"/>
          </w:tcPr>
          <w:p w:rsidR="00076E84" w:rsidRDefault="00076E84" w:rsidP="00CF6359">
            <w:pPr>
              <w:jc w:val="right"/>
            </w:pPr>
            <w:r>
              <w:t>0</w:t>
            </w:r>
          </w:p>
        </w:tc>
        <w:tc>
          <w:tcPr>
            <w:tcW w:w="0" w:type="auto"/>
          </w:tcPr>
          <w:p w:rsidR="00076E84" w:rsidRDefault="00076E84" w:rsidP="00CF6359">
            <w:pPr>
              <w:jc w:val="right"/>
            </w:pPr>
            <w:r>
              <w:t>139.407</w:t>
            </w:r>
          </w:p>
        </w:tc>
      </w:tr>
      <w:tr w:rsidR="00076E84" w:rsidRPr="00A6387C" w:rsidTr="00CF6359">
        <w:tc>
          <w:tcPr>
            <w:tcW w:w="0" w:type="auto"/>
          </w:tcPr>
          <w:p w:rsidR="00076E84" w:rsidRPr="00F918B0" w:rsidRDefault="00076E84" w:rsidP="00CF6359">
            <w:r w:rsidRPr="00F918B0">
              <w:t xml:space="preserve">Obveze za EU predujmove – </w:t>
            </w:r>
            <w:r>
              <w:t>„Mreža za mlade Grada Zagreba“</w:t>
            </w:r>
          </w:p>
        </w:tc>
        <w:tc>
          <w:tcPr>
            <w:tcW w:w="0" w:type="auto"/>
          </w:tcPr>
          <w:p w:rsidR="00076E84" w:rsidRDefault="00076E84" w:rsidP="00CF6359">
            <w:pPr>
              <w:jc w:val="right"/>
            </w:pPr>
            <w:r>
              <w:t>0</w:t>
            </w:r>
          </w:p>
        </w:tc>
        <w:tc>
          <w:tcPr>
            <w:tcW w:w="0" w:type="auto"/>
          </w:tcPr>
          <w:p w:rsidR="00076E84" w:rsidRDefault="00076E84" w:rsidP="00CF6359">
            <w:pPr>
              <w:jc w:val="right"/>
            </w:pPr>
            <w:r>
              <w:t>221.022</w:t>
            </w:r>
          </w:p>
        </w:tc>
      </w:tr>
      <w:tr w:rsidR="00076E84" w:rsidRPr="00A6387C" w:rsidTr="00CF6359">
        <w:tc>
          <w:tcPr>
            <w:tcW w:w="0" w:type="auto"/>
          </w:tcPr>
          <w:p w:rsidR="00076E84" w:rsidRPr="00F918B0" w:rsidRDefault="00076E84" w:rsidP="00CF6359">
            <w:r>
              <w:t>Naplaćeni prihodi budućeg razdoblja</w:t>
            </w:r>
          </w:p>
        </w:tc>
        <w:tc>
          <w:tcPr>
            <w:tcW w:w="0" w:type="auto"/>
          </w:tcPr>
          <w:p w:rsidR="00076E84" w:rsidRDefault="00076E84" w:rsidP="00CF6359">
            <w:pPr>
              <w:jc w:val="right"/>
            </w:pPr>
            <w:r>
              <w:t>8.400</w:t>
            </w:r>
          </w:p>
        </w:tc>
        <w:tc>
          <w:tcPr>
            <w:tcW w:w="0" w:type="auto"/>
          </w:tcPr>
          <w:p w:rsidR="00076E84" w:rsidRDefault="00076E84" w:rsidP="00CF6359">
            <w:pPr>
              <w:jc w:val="right"/>
            </w:pPr>
            <w:r>
              <w:t>8.400</w:t>
            </w:r>
          </w:p>
        </w:tc>
      </w:tr>
      <w:tr w:rsidR="00076E84" w:rsidRPr="00A6387C" w:rsidTr="00CF6359">
        <w:tc>
          <w:tcPr>
            <w:tcW w:w="0" w:type="auto"/>
          </w:tcPr>
          <w:p w:rsidR="00076E84" w:rsidRDefault="00076E84" w:rsidP="00CF6359">
            <w:pPr>
              <w:rPr>
                <w:b/>
              </w:rPr>
            </w:pPr>
            <w:r>
              <w:rPr>
                <w:b/>
              </w:rPr>
              <w:t>Stanovi</w:t>
            </w:r>
          </w:p>
        </w:tc>
        <w:tc>
          <w:tcPr>
            <w:tcW w:w="0" w:type="auto"/>
          </w:tcPr>
          <w:p w:rsidR="00076E84" w:rsidRPr="00720F0B" w:rsidRDefault="00076E84" w:rsidP="00CF6359">
            <w:pPr>
              <w:jc w:val="right"/>
            </w:pPr>
          </w:p>
        </w:tc>
        <w:tc>
          <w:tcPr>
            <w:tcW w:w="0" w:type="auto"/>
          </w:tcPr>
          <w:p w:rsidR="00076E84" w:rsidRDefault="00076E84" w:rsidP="00CF6359">
            <w:pPr>
              <w:jc w:val="right"/>
              <w:rPr>
                <w:b/>
              </w:rPr>
            </w:pPr>
          </w:p>
        </w:tc>
      </w:tr>
      <w:tr w:rsidR="00076E84" w:rsidRPr="00A6387C" w:rsidTr="00CF6359">
        <w:tc>
          <w:tcPr>
            <w:tcW w:w="0" w:type="auto"/>
          </w:tcPr>
          <w:p w:rsidR="00076E84" w:rsidRPr="00A6387C" w:rsidRDefault="00076E84" w:rsidP="00CF6359">
            <w:r>
              <w:t>Obveze prema Republici Hrvatskoj (zakonsko izdvajanje) prema ukupno zaključenim ugovorima o otkupu stanova, kao i obveze za nadstojničke stanove</w:t>
            </w:r>
          </w:p>
        </w:tc>
        <w:tc>
          <w:tcPr>
            <w:tcW w:w="0" w:type="auto"/>
          </w:tcPr>
          <w:p w:rsidR="00076E84" w:rsidRPr="00720F0B" w:rsidRDefault="00076E84" w:rsidP="00CF6359">
            <w:pPr>
              <w:jc w:val="right"/>
            </w:pPr>
            <w:r w:rsidRPr="00720F0B">
              <w:t>86.101.968</w:t>
            </w:r>
          </w:p>
        </w:tc>
        <w:tc>
          <w:tcPr>
            <w:tcW w:w="0" w:type="auto"/>
          </w:tcPr>
          <w:p w:rsidR="00076E84" w:rsidRDefault="00076E84" w:rsidP="00CF6359">
            <w:pPr>
              <w:jc w:val="right"/>
            </w:pPr>
            <w:r>
              <w:t>64.097.260</w:t>
            </w:r>
          </w:p>
        </w:tc>
      </w:tr>
      <w:tr w:rsidR="00076E84" w:rsidRPr="00A6387C" w:rsidTr="00CF6359">
        <w:tc>
          <w:tcPr>
            <w:tcW w:w="0" w:type="auto"/>
          </w:tcPr>
          <w:p w:rsidR="00076E84" w:rsidRPr="00A6387C" w:rsidRDefault="00076E84" w:rsidP="00CF6359">
            <w:pPr>
              <w:rPr>
                <w:b/>
              </w:rPr>
            </w:pPr>
            <w:r>
              <w:rPr>
                <w:b/>
              </w:rPr>
              <w:t>UKUPNO</w:t>
            </w:r>
          </w:p>
        </w:tc>
        <w:tc>
          <w:tcPr>
            <w:tcW w:w="0" w:type="auto"/>
          </w:tcPr>
          <w:p w:rsidR="00076E84" w:rsidRPr="00720F0B" w:rsidRDefault="00076E84" w:rsidP="00CF6359">
            <w:pPr>
              <w:jc w:val="right"/>
            </w:pPr>
            <w:r w:rsidRPr="000D57B5">
              <w:t>2.340.794.143</w:t>
            </w:r>
          </w:p>
        </w:tc>
        <w:tc>
          <w:tcPr>
            <w:tcW w:w="0" w:type="auto"/>
          </w:tcPr>
          <w:p w:rsidR="00076E84" w:rsidRPr="00F918B0" w:rsidRDefault="00076E84" w:rsidP="00CF6359">
            <w:pPr>
              <w:jc w:val="right"/>
            </w:pPr>
            <w:r w:rsidRPr="00F918B0">
              <w:t>2.606.</w:t>
            </w:r>
            <w:r>
              <w:t>966.194</w:t>
            </w:r>
          </w:p>
        </w:tc>
      </w:tr>
    </w:tbl>
    <w:p w:rsidR="00076E84" w:rsidRDefault="00076E84" w:rsidP="00076E84">
      <w:pPr>
        <w:spacing w:after="0"/>
        <w:jc w:val="both"/>
      </w:pPr>
    </w:p>
    <w:p w:rsidR="00076E84" w:rsidRDefault="00076E84" w:rsidP="00076E84">
      <w:r>
        <w:rPr>
          <w:b/>
        </w:rPr>
        <w:t>Bilješka br. 27</w:t>
      </w:r>
      <w:r>
        <w:t xml:space="preserve"> – AOP 171 </w:t>
      </w:r>
      <w:r w:rsidRPr="00582B04">
        <w:t>Obveze za subvencije</w:t>
      </w:r>
    </w:p>
    <w:tbl>
      <w:tblPr>
        <w:tblStyle w:val="TableGrid"/>
        <w:tblW w:w="0" w:type="auto"/>
        <w:tblLook w:val="04A0" w:firstRow="1" w:lastRow="0" w:firstColumn="1" w:lastColumn="0" w:noHBand="0" w:noVBand="1"/>
      </w:tblPr>
      <w:tblGrid>
        <w:gridCol w:w="864"/>
        <w:gridCol w:w="2132"/>
        <w:gridCol w:w="603"/>
        <w:gridCol w:w="1640"/>
        <w:gridCol w:w="1669"/>
        <w:gridCol w:w="973"/>
        <w:gridCol w:w="1407"/>
      </w:tblGrid>
      <w:tr w:rsidR="00076E84" w:rsidRPr="00774066" w:rsidTr="00CF6359">
        <w:trPr>
          <w:trHeight w:val="600"/>
        </w:trPr>
        <w:tc>
          <w:tcPr>
            <w:tcW w:w="864"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2132" w:type="dxa"/>
            <w:shd w:val="clear" w:color="auto" w:fill="DEEAF6" w:themeFill="accent1" w:themeFillTint="33"/>
            <w:vAlign w:val="center"/>
            <w:hideMark/>
          </w:tcPr>
          <w:p w:rsidR="00076E84" w:rsidRPr="00774066" w:rsidRDefault="00076E84" w:rsidP="00CF6359">
            <w:pPr>
              <w:jc w:val="center"/>
            </w:pPr>
            <w:r w:rsidRPr="00774066">
              <w:t>OPIS</w:t>
            </w:r>
          </w:p>
        </w:tc>
        <w:tc>
          <w:tcPr>
            <w:tcW w:w="603"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864"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2132" w:type="dxa"/>
            <w:tcBorders>
              <w:bottom w:val="single" w:sz="4" w:space="0" w:color="auto"/>
            </w:tcBorders>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603"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tcBorders>
              <w:bottom w:val="single" w:sz="4" w:space="0" w:color="auto"/>
            </w:tcBorders>
            <w:shd w:val="clear" w:color="auto" w:fill="DEEAF6" w:themeFill="accent1" w:themeFillTint="33"/>
            <w:noWrap/>
            <w:hideMark/>
          </w:tcPr>
          <w:p w:rsidR="00076E84" w:rsidRPr="00774066" w:rsidRDefault="00076E84" w:rsidP="00CF6359">
            <w:pPr>
              <w:jc w:val="center"/>
              <w:rPr>
                <w:sz w:val="16"/>
                <w:szCs w:val="16"/>
              </w:rPr>
            </w:pPr>
            <w:r w:rsidRPr="00AF1142">
              <w:rPr>
                <w:sz w:val="16"/>
                <w:szCs w:val="16"/>
              </w:rPr>
              <w:t>7=5-4</w:t>
            </w:r>
          </w:p>
        </w:tc>
      </w:tr>
      <w:tr w:rsidR="00076E84" w:rsidRPr="001E5F32" w:rsidTr="00CF6359">
        <w:trPr>
          <w:trHeight w:val="415"/>
        </w:trPr>
        <w:tc>
          <w:tcPr>
            <w:tcW w:w="864" w:type="dxa"/>
            <w:shd w:val="clear" w:color="auto" w:fill="FFFFFF" w:themeFill="background1"/>
            <w:noWrap/>
            <w:vAlign w:val="center"/>
          </w:tcPr>
          <w:p w:rsidR="00076E84" w:rsidRPr="001E5F32" w:rsidRDefault="00076E84" w:rsidP="00CF6359">
            <w:pPr>
              <w:jc w:val="right"/>
            </w:pPr>
            <w:r>
              <w:t>235</w:t>
            </w:r>
          </w:p>
        </w:tc>
        <w:tc>
          <w:tcPr>
            <w:tcW w:w="2132" w:type="dxa"/>
            <w:shd w:val="clear" w:color="auto" w:fill="FFFFFF" w:themeFill="background1"/>
            <w:vAlign w:val="center"/>
          </w:tcPr>
          <w:p w:rsidR="00076E84" w:rsidRPr="001E5F32" w:rsidRDefault="00076E84" w:rsidP="00CF6359">
            <w:r w:rsidRPr="00582B04">
              <w:t>Obveze za subvencije</w:t>
            </w:r>
          </w:p>
        </w:tc>
        <w:tc>
          <w:tcPr>
            <w:tcW w:w="603" w:type="dxa"/>
            <w:shd w:val="clear" w:color="auto" w:fill="FFFFFF" w:themeFill="background1"/>
            <w:noWrap/>
            <w:vAlign w:val="center"/>
          </w:tcPr>
          <w:p w:rsidR="00076E84" w:rsidRPr="001E5F32" w:rsidRDefault="00076E84" w:rsidP="00CF6359">
            <w:pPr>
              <w:jc w:val="right"/>
            </w:pPr>
            <w:r>
              <w:t>171</w:t>
            </w:r>
          </w:p>
        </w:tc>
        <w:tc>
          <w:tcPr>
            <w:tcW w:w="1640" w:type="dxa"/>
            <w:shd w:val="clear" w:color="auto" w:fill="FFFFFF" w:themeFill="background1"/>
            <w:noWrap/>
            <w:vAlign w:val="center"/>
          </w:tcPr>
          <w:p w:rsidR="00076E84" w:rsidRPr="001E5F32" w:rsidRDefault="00076E84" w:rsidP="00CF6359">
            <w:pPr>
              <w:jc w:val="right"/>
            </w:pPr>
            <w:r w:rsidRPr="000D57B5">
              <w:t>6.945.948</w:t>
            </w:r>
          </w:p>
        </w:tc>
        <w:tc>
          <w:tcPr>
            <w:tcW w:w="1669" w:type="dxa"/>
            <w:shd w:val="clear" w:color="auto" w:fill="FFFFFF" w:themeFill="background1"/>
            <w:noWrap/>
            <w:vAlign w:val="center"/>
          </w:tcPr>
          <w:p w:rsidR="00076E84" w:rsidRPr="001E5F32" w:rsidRDefault="00076E84" w:rsidP="00CF6359">
            <w:pPr>
              <w:jc w:val="right"/>
            </w:pPr>
            <w:r>
              <w:t>13.423.449</w:t>
            </w:r>
          </w:p>
        </w:tc>
        <w:tc>
          <w:tcPr>
            <w:tcW w:w="973" w:type="dxa"/>
            <w:shd w:val="clear" w:color="auto" w:fill="FFFFFF" w:themeFill="background1"/>
            <w:noWrap/>
            <w:vAlign w:val="center"/>
          </w:tcPr>
          <w:p w:rsidR="00076E84" w:rsidRPr="001E5F32" w:rsidRDefault="00076E84" w:rsidP="00CF6359">
            <w:pPr>
              <w:jc w:val="right"/>
            </w:pPr>
            <w:r>
              <w:t>193,3</w:t>
            </w:r>
          </w:p>
        </w:tc>
        <w:tc>
          <w:tcPr>
            <w:tcW w:w="1407" w:type="dxa"/>
            <w:shd w:val="clear" w:color="auto" w:fill="FFFFFF" w:themeFill="background1"/>
            <w:noWrap/>
            <w:vAlign w:val="center"/>
          </w:tcPr>
          <w:p w:rsidR="00076E84" w:rsidRPr="001E5F32" w:rsidRDefault="00076E84" w:rsidP="00CF6359">
            <w:pPr>
              <w:jc w:val="right"/>
            </w:pPr>
            <w:r>
              <w:t>6.477.501</w:t>
            </w:r>
          </w:p>
        </w:tc>
      </w:tr>
    </w:tbl>
    <w:p w:rsidR="00076E84" w:rsidRDefault="00076E84" w:rsidP="00076E84">
      <w:pPr>
        <w:spacing w:after="0"/>
      </w:pPr>
    </w:p>
    <w:p w:rsidR="00076E84" w:rsidRPr="00582B04" w:rsidRDefault="00076E84" w:rsidP="00076E84">
      <w:pPr>
        <w:spacing w:after="0"/>
        <w:jc w:val="both"/>
      </w:pPr>
      <w:r>
        <w:t>U okviru ovih obveza iskazane su obveze za subvencije: trgovačkim društvima u javnom sektoru u iznosu od 1.344.273 kn, trgovačkim društvima izvan javnog sektora u iznosu od 3.975.518 kn i poljoprivrednicima i obrtnicima u iznosu od 8.103.658 kn. Povećanje obveza u odnosu na prethodnu godinu je zbog  donesenih zaključaka krajem godine temeljem kojih su dodijeljene potpore poduzetnicima, poljoprivrednicima i obrtnicima u sklopu mjera za razvoj obrta, malog i srednjeg poduzetništva za 2018. godinu, koje nisu isplaćene.</w:t>
      </w:r>
    </w:p>
    <w:p w:rsidR="00076E84" w:rsidRDefault="00076E84" w:rsidP="00076E84">
      <w:pPr>
        <w:spacing w:after="0"/>
        <w:rPr>
          <w:b/>
        </w:rPr>
      </w:pPr>
    </w:p>
    <w:p w:rsidR="00076E84" w:rsidRDefault="00076E84" w:rsidP="00076E84">
      <w:pPr>
        <w:jc w:val="both"/>
      </w:pPr>
      <w:r w:rsidRPr="00C64BC2">
        <w:rPr>
          <w:b/>
        </w:rPr>
        <w:t>Bilješka br. 2</w:t>
      </w:r>
      <w:r>
        <w:rPr>
          <w:b/>
        </w:rPr>
        <w:t>8</w:t>
      </w:r>
      <w:r>
        <w:t xml:space="preserve"> – AOP 173 Obveze za kazne, naknade šteta i kapitalne pomoći </w:t>
      </w:r>
    </w:p>
    <w:tbl>
      <w:tblPr>
        <w:tblStyle w:val="TableGrid"/>
        <w:tblW w:w="0" w:type="auto"/>
        <w:tblLook w:val="04A0" w:firstRow="1" w:lastRow="0" w:firstColumn="1" w:lastColumn="0" w:noHBand="0" w:noVBand="1"/>
      </w:tblPr>
      <w:tblGrid>
        <w:gridCol w:w="864"/>
        <w:gridCol w:w="2132"/>
        <w:gridCol w:w="603"/>
        <w:gridCol w:w="1640"/>
        <w:gridCol w:w="1669"/>
        <w:gridCol w:w="973"/>
        <w:gridCol w:w="1407"/>
      </w:tblGrid>
      <w:tr w:rsidR="00076E84" w:rsidRPr="007F3BC9" w:rsidTr="00CF6359">
        <w:trPr>
          <w:trHeight w:val="600"/>
        </w:trPr>
        <w:tc>
          <w:tcPr>
            <w:tcW w:w="864" w:type="dxa"/>
            <w:shd w:val="clear" w:color="auto" w:fill="DEEAF6" w:themeFill="accent1" w:themeFillTint="33"/>
            <w:noWrap/>
            <w:vAlign w:val="center"/>
            <w:hideMark/>
          </w:tcPr>
          <w:p w:rsidR="00076E84" w:rsidRPr="007F3BC9" w:rsidRDefault="00076E84" w:rsidP="00CF6359">
            <w:pPr>
              <w:jc w:val="center"/>
              <w:rPr>
                <w:sz w:val="20"/>
                <w:szCs w:val="20"/>
              </w:rPr>
            </w:pPr>
            <w:r w:rsidRPr="007F3BC9">
              <w:rPr>
                <w:sz w:val="20"/>
                <w:szCs w:val="20"/>
              </w:rPr>
              <w:t>RAČUN</w:t>
            </w:r>
          </w:p>
        </w:tc>
        <w:tc>
          <w:tcPr>
            <w:tcW w:w="2132" w:type="dxa"/>
            <w:shd w:val="clear" w:color="auto" w:fill="DEEAF6" w:themeFill="accent1" w:themeFillTint="33"/>
            <w:vAlign w:val="center"/>
            <w:hideMark/>
          </w:tcPr>
          <w:p w:rsidR="00076E84" w:rsidRPr="007F3BC9" w:rsidRDefault="00076E84" w:rsidP="00CF6359">
            <w:pPr>
              <w:jc w:val="center"/>
            </w:pPr>
            <w:r w:rsidRPr="007F3BC9">
              <w:t>OPIS</w:t>
            </w:r>
          </w:p>
        </w:tc>
        <w:tc>
          <w:tcPr>
            <w:tcW w:w="603" w:type="dxa"/>
            <w:shd w:val="clear" w:color="auto" w:fill="DEEAF6" w:themeFill="accent1" w:themeFillTint="33"/>
            <w:noWrap/>
            <w:vAlign w:val="center"/>
            <w:hideMark/>
          </w:tcPr>
          <w:p w:rsidR="00076E84" w:rsidRPr="007F3BC9" w:rsidRDefault="00076E84" w:rsidP="00CF6359">
            <w:pPr>
              <w:jc w:val="center"/>
              <w:rPr>
                <w:sz w:val="20"/>
                <w:szCs w:val="20"/>
              </w:rPr>
            </w:pPr>
            <w:r w:rsidRPr="007F3BC9">
              <w:rPr>
                <w:sz w:val="20"/>
                <w:szCs w:val="20"/>
              </w:rPr>
              <w:t>AOP</w:t>
            </w:r>
          </w:p>
        </w:tc>
        <w:tc>
          <w:tcPr>
            <w:tcW w:w="1640" w:type="dxa"/>
            <w:shd w:val="clear" w:color="auto" w:fill="DEEAF6" w:themeFill="accent1" w:themeFillTint="33"/>
            <w:noWrap/>
            <w:vAlign w:val="center"/>
            <w:hideMark/>
          </w:tcPr>
          <w:p w:rsidR="00076E84" w:rsidRPr="007F3BC9" w:rsidRDefault="00076E84" w:rsidP="00CF6359">
            <w:pPr>
              <w:jc w:val="center"/>
            </w:pPr>
            <w:r w:rsidRPr="007F3BC9">
              <w:t>Stanje 01.01.1</w:t>
            </w:r>
            <w:r>
              <w:t>8</w:t>
            </w:r>
            <w:r w:rsidRPr="007F3BC9">
              <w:t>.</w:t>
            </w:r>
          </w:p>
        </w:tc>
        <w:tc>
          <w:tcPr>
            <w:tcW w:w="1669" w:type="dxa"/>
            <w:shd w:val="clear" w:color="auto" w:fill="DEEAF6" w:themeFill="accent1" w:themeFillTint="33"/>
            <w:noWrap/>
            <w:vAlign w:val="center"/>
            <w:hideMark/>
          </w:tcPr>
          <w:p w:rsidR="00076E84" w:rsidRPr="007F3BC9" w:rsidRDefault="00076E84" w:rsidP="00CF6359">
            <w:pPr>
              <w:jc w:val="center"/>
            </w:pPr>
            <w:r w:rsidRPr="007F3BC9">
              <w:t>Stanje 31.12.1</w:t>
            </w:r>
            <w:r>
              <w:t>8</w:t>
            </w:r>
            <w:r w:rsidRPr="007F3BC9">
              <w:t>.</w:t>
            </w:r>
          </w:p>
        </w:tc>
        <w:tc>
          <w:tcPr>
            <w:tcW w:w="973" w:type="dxa"/>
            <w:shd w:val="clear" w:color="auto" w:fill="DEEAF6" w:themeFill="accent1" w:themeFillTint="33"/>
            <w:vAlign w:val="center"/>
            <w:hideMark/>
          </w:tcPr>
          <w:p w:rsidR="00076E84" w:rsidRPr="007F3BC9" w:rsidRDefault="00076E84" w:rsidP="00CF6359">
            <w:pPr>
              <w:jc w:val="center"/>
              <w:rPr>
                <w:sz w:val="20"/>
                <w:szCs w:val="20"/>
              </w:rPr>
            </w:pPr>
            <w:r w:rsidRPr="007F3BC9">
              <w:rPr>
                <w:sz w:val="20"/>
                <w:szCs w:val="20"/>
              </w:rPr>
              <w:t>Indeks 5/4*100</w:t>
            </w:r>
          </w:p>
        </w:tc>
        <w:tc>
          <w:tcPr>
            <w:tcW w:w="1407" w:type="dxa"/>
            <w:shd w:val="clear" w:color="auto" w:fill="DEEAF6" w:themeFill="accent1" w:themeFillTint="33"/>
            <w:vAlign w:val="center"/>
            <w:hideMark/>
          </w:tcPr>
          <w:p w:rsidR="00076E84" w:rsidRPr="007F3BC9" w:rsidRDefault="00076E84" w:rsidP="00CF6359">
            <w:pPr>
              <w:jc w:val="center"/>
            </w:pPr>
            <w:r>
              <w:t>Smanje</w:t>
            </w:r>
            <w:r w:rsidRPr="007F3BC9">
              <w:t>nje</w:t>
            </w:r>
          </w:p>
        </w:tc>
      </w:tr>
      <w:tr w:rsidR="00076E84" w:rsidRPr="007F3BC9" w:rsidTr="00CF6359">
        <w:trPr>
          <w:trHeight w:val="195"/>
        </w:trPr>
        <w:tc>
          <w:tcPr>
            <w:tcW w:w="864" w:type="dxa"/>
            <w:tcBorders>
              <w:bottom w:val="single" w:sz="4" w:space="0" w:color="auto"/>
            </w:tcBorders>
            <w:shd w:val="clear" w:color="auto" w:fill="DEEAF6" w:themeFill="accent1" w:themeFillTint="33"/>
            <w:noWrap/>
            <w:hideMark/>
          </w:tcPr>
          <w:p w:rsidR="00076E84" w:rsidRPr="007F3BC9" w:rsidRDefault="00076E84" w:rsidP="00CF6359">
            <w:pPr>
              <w:jc w:val="center"/>
              <w:rPr>
                <w:sz w:val="16"/>
                <w:szCs w:val="16"/>
              </w:rPr>
            </w:pPr>
            <w:r w:rsidRPr="007F3BC9">
              <w:rPr>
                <w:sz w:val="16"/>
                <w:szCs w:val="16"/>
              </w:rPr>
              <w:t>1</w:t>
            </w:r>
          </w:p>
        </w:tc>
        <w:tc>
          <w:tcPr>
            <w:tcW w:w="2132" w:type="dxa"/>
            <w:tcBorders>
              <w:bottom w:val="single" w:sz="4" w:space="0" w:color="auto"/>
            </w:tcBorders>
            <w:shd w:val="clear" w:color="auto" w:fill="DEEAF6" w:themeFill="accent1" w:themeFillTint="33"/>
            <w:hideMark/>
          </w:tcPr>
          <w:p w:rsidR="00076E84" w:rsidRPr="007F3BC9" w:rsidRDefault="00076E84" w:rsidP="00CF6359">
            <w:pPr>
              <w:jc w:val="center"/>
              <w:rPr>
                <w:sz w:val="16"/>
                <w:szCs w:val="16"/>
              </w:rPr>
            </w:pPr>
            <w:r w:rsidRPr="007F3BC9">
              <w:rPr>
                <w:sz w:val="16"/>
                <w:szCs w:val="16"/>
              </w:rPr>
              <w:t>2</w:t>
            </w:r>
          </w:p>
        </w:tc>
        <w:tc>
          <w:tcPr>
            <w:tcW w:w="603" w:type="dxa"/>
            <w:tcBorders>
              <w:bottom w:val="single" w:sz="4" w:space="0" w:color="auto"/>
            </w:tcBorders>
            <w:shd w:val="clear" w:color="auto" w:fill="DEEAF6" w:themeFill="accent1" w:themeFillTint="33"/>
            <w:noWrap/>
            <w:hideMark/>
          </w:tcPr>
          <w:p w:rsidR="00076E84" w:rsidRPr="007F3BC9" w:rsidRDefault="00076E84" w:rsidP="00CF6359">
            <w:pPr>
              <w:jc w:val="center"/>
              <w:rPr>
                <w:sz w:val="16"/>
                <w:szCs w:val="16"/>
              </w:rPr>
            </w:pPr>
            <w:r w:rsidRPr="007F3BC9">
              <w:rPr>
                <w:sz w:val="16"/>
                <w:szCs w:val="16"/>
              </w:rPr>
              <w:t>3</w:t>
            </w:r>
          </w:p>
        </w:tc>
        <w:tc>
          <w:tcPr>
            <w:tcW w:w="1640" w:type="dxa"/>
            <w:tcBorders>
              <w:bottom w:val="single" w:sz="4" w:space="0" w:color="auto"/>
            </w:tcBorders>
            <w:shd w:val="clear" w:color="auto" w:fill="DEEAF6" w:themeFill="accent1" w:themeFillTint="33"/>
            <w:noWrap/>
            <w:hideMark/>
          </w:tcPr>
          <w:p w:rsidR="00076E84" w:rsidRPr="007F3BC9" w:rsidRDefault="00076E84" w:rsidP="00CF6359">
            <w:pPr>
              <w:jc w:val="center"/>
              <w:rPr>
                <w:sz w:val="16"/>
                <w:szCs w:val="16"/>
              </w:rPr>
            </w:pPr>
            <w:r w:rsidRPr="007F3BC9">
              <w:rPr>
                <w:sz w:val="16"/>
                <w:szCs w:val="16"/>
              </w:rPr>
              <w:t>4</w:t>
            </w:r>
          </w:p>
        </w:tc>
        <w:tc>
          <w:tcPr>
            <w:tcW w:w="1669" w:type="dxa"/>
            <w:tcBorders>
              <w:bottom w:val="single" w:sz="4" w:space="0" w:color="auto"/>
            </w:tcBorders>
            <w:shd w:val="clear" w:color="auto" w:fill="DEEAF6" w:themeFill="accent1" w:themeFillTint="33"/>
            <w:noWrap/>
            <w:hideMark/>
          </w:tcPr>
          <w:p w:rsidR="00076E84" w:rsidRPr="007F3BC9" w:rsidRDefault="00076E84" w:rsidP="00CF6359">
            <w:pPr>
              <w:jc w:val="center"/>
              <w:rPr>
                <w:sz w:val="16"/>
                <w:szCs w:val="16"/>
              </w:rPr>
            </w:pPr>
            <w:r w:rsidRPr="007F3BC9">
              <w:rPr>
                <w:sz w:val="16"/>
                <w:szCs w:val="16"/>
              </w:rPr>
              <w:t>5</w:t>
            </w:r>
          </w:p>
        </w:tc>
        <w:tc>
          <w:tcPr>
            <w:tcW w:w="973" w:type="dxa"/>
            <w:tcBorders>
              <w:bottom w:val="single" w:sz="4" w:space="0" w:color="auto"/>
            </w:tcBorders>
            <w:shd w:val="clear" w:color="auto" w:fill="DEEAF6" w:themeFill="accent1" w:themeFillTint="33"/>
            <w:noWrap/>
            <w:hideMark/>
          </w:tcPr>
          <w:p w:rsidR="00076E84" w:rsidRPr="007F3BC9" w:rsidRDefault="00076E84" w:rsidP="00CF6359">
            <w:pPr>
              <w:jc w:val="center"/>
              <w:rPr>
                <w:sz w:val="16"/>
                <w:szCs w:val="16"/>
              </w:rPr>
            </w:pPr>
            <w:r w:rsidRPr="007F3BC9">
              <w:rPr>
                <w:sz w:val="16"/>
                <w:szCs w:val="16"/>
              </w:rPr>
              <w:t>6</w:t>
            </w:r>
          </w:p>
        </w:tc>
        <w:tc>
          <w:tcPr>
            <w:tcW w:w="1407" w:type="dxa"/>
            <w:tcBorders>
              <w:bottom w:val="single" w:sz="4" w:space="0" w:color="auto"/>
            </w:tcBorders>
            <w:shd w:val="clear" w:color="auto" w:fill="DEEAF6" w:themeFill="accent1" w:themeFillTint="33"/>
            <w:noWrap/>
            <w:hideMark/>
          </w:tcPr>
          <w:p w:rsidR="00076E84" w:rsidRPr="007F3BC9" w:rsidRDefault="00076E84" w:rsidP="00CF6359">
            <w:pPr>
              <w:jc w:val="center"/>
              <w:rPr>
                <w:sz w:val="16"/>
                <w:szCs w:val="16"/>
              </w:rPr>
            </w:pPr>
            <w:r w:rsidRPr="007F3BC9">
              <w:rPr>
                <w:sz w:val="16"/>
                <w:szCs w:val="16"/>
              </w:rPr>
              <w:t>7</w:t>
            </w:r>
            <w:r>
              <w:rPr>
                <w:sz w:val="16"/>
                <w:szCs w:val="16"/>
              </w:rPr>
              <w:t>=5-4</w:t>
            </w:r>
          </w:p>
        </w:tc>
      </w:tr>
      <w:tr w:rsidR="00076E84" w:rsidRPr="001E5F32" w:rsidTr="00CF6359">
        <w:trPr>
          <w:trHeight w:val="415"/>
        </w:trPr>
        <w:tc>
          <w:tcPr>
            <w:tcW w:w="864" w:type="dxa"/>
            <w:shd w:val="clear" w:color="auto" w:fill="FFFFFF" w:themeFill="background1"/>
            <w:noWrap/>
            <w:vAlign w:val="center"/>
          </w:tcPr>
          <w:p w:rsidR="00076E84" w:rsidRPr="007F3BC9" w:rsidRDefault="00076E84" w:rsidP="00CF6359">
            <w:pPr>
              <w:jc w:val="right"/>
            </w:pPr>
            <w:r w:rsidRPr="007F3BC9">
              <w:t>23</w:t>
            </w:r>
            <w:r>
              <w:t>8</w:t>
            </w:r>
          </w:p>
        </w:tc>
        <w:tc>
          <w:tcPr>
            <w:tcW w:w="2132" w:type="dxa"/>
            <w:shd w:val="clear" w:color="auto" w:fill="FFFFFF" w:themeFill="background1"/>
            <w:vAlign w:val="center"/>
          </w:tcPr>
          <w:p w:rsidR="00076E84" w:rsidRPr="007F3BC9" w:rsidRDefault="00076E84" w:rsidP="00CF6359">
            <w:r w:rsidRPr="00D3124F">
              <w:t>Obveze za kazne, naknade šteta i kapitalne pomoći</w:t>
            </w:r>
          </w:p>
        </w:tc>
        <w:tc>
          <w:tcPr>
            <w:tcW w:w="603" w:type="dxa"/>
            <w:shd w:val="clear" w:color="auto" w:fill="FFFFFF" w:themeFill="background1"/>
            <w:noWrap/>
            <w:vAlign w:val="center"/>
          </w:tcPr>
          <w:p w:rsidR="00076E84" w:rsidRPr="007F3BC9" w:rsidRDefault="00076E84" w:rsidP="00CF6359">
            <w:pPr>
              <w:jc w:val="right"/>
            </w:pPr>
            <w:r w:rsidRPr="007F3BC9">
              <w:t>17</w:t>
            </w:r>
            <w:r>
              <w:t>3</w:t>
            </w:r>
          </w:p>
        </w:tc>
        <w:tc>
          <w:tcPr>
            <w:tcW w:w="1640" w:type="dxa"/>
            <w:shd w:val="clear" w:color="auto" w:fill="FFFFFF" w:themeFill="background1"/>
            <w:noWrap/>
            <w:vAlign w:val="center"/>
          </w:tcPr>
          <w:p w:rsidR="00076E84" w:rsidRPr="007F3BC9" w:rsidRDefault="00076E84" w:rsidP="00CF6359">
            <w:pPr>
              <w:jc w:val="right"/>
            </w:pPr>
            <w:r w:rsidRPr="000D57B5">
              <w:t>11.453.508</w:t>
            </w:r>
          </w:p>
        </w:tc>
        <w:tc>
          <w:tcPr>
            <w:tcW w:w="1669" w:type="dxa"/>
            <w:shd w:val="clear" w:color="auto" w:fill="FFFFFF" w:themeFill="background1"/>
            <w:noWrap/>
            <w:vAlign w:val="center"/>
          </w:tcPr>
          <w:p w:rsidR="00076E84" w:rsidRPr="007F3BC9" w:rsidRDefault="00076E84" w:rsidP="00CF6359">
            <w:pPr>
              <w:jc w:val="right"/>
            </w:pPr>
            <w:r>
              <w:t>2.031.362</w:t>
            </w:r>
          </w:p>
        </w:tc>
        <w:tc>
          <w:tcPr>
            <w:tcW w:w="973" w:type="dxa"/>
            <w:shd w:val="clear" w:color="auto" w:fill="FFFFFF" w:themeFill="background1"/>
            <w:noWrap/>
            <w:vAlign w:val="center"/>
          </w:tcPr>
          <w:p w:rsidR="00076E84" w:rsidRPr="007F3BC9" w:rsidRDefault="00076E84" w:rsidP="00CF6359">
            <w:pPr>
              <w:jc w:val="right"/>
            </w:pPr>
            <w:r>
              <w:t>17,7</w:t>
            </w:r>
          </w:p>
        </w:tc>
        <w:tc>
          <w:tcPr>
            <w:tcW w:w="1407" w:type="dxa"/>
            <w:shd w:val="clear" w:color="auto" w:fill="FFFFFF" w:themeFill="background1"/>
            <w:noWrap/>
            <w:vAlign w:val="center"/>
          </w:tcPr>
          <w:p w:rsidR="00076E84" w:rsidRPr="001E5F32" w:rsidRDefault="00076E84" w:rsidP="00CF6359">
            <w:pPr>
              <w:jc w:val="right"/>
            </w:pPr>
            <w:r>
              <w:t>9.422.146</w:t>
            </w:r>
          </w:p>
        </w:tc>
      </w:tr>
    </w:tbl>
    <w:p w:rsidR="00076E84" w:rsidRDefault="00076E84" w:rsidP="00076E84">
      <w:pPr>
        <w:spacing w:after="0"/>
        <w:rPr>
          <w:b/>
        </w:rPr>
      </w:pPr>
    </w:p>
    <w:p w:rsidR="00076E84" w:rsidRDefault="00076E84" w:rsidP="00076E84">
      <w:pPr>
        <w:spacing w:after="0"/>
        <w:jc w:val="both"/>
      </w:pPr>
      <w:r w:rsidRPr="00D3124F">
        <w:lastRenderedPageBreak/>
        <w:t>Obveze za kazne, naknade šteta i kapitalne pomoći</w:t>
      </w:r>
      <w:r>
        <w:t xml:space="preserve"> znatno su smanjene u odnosu na prethodnu godinu jer su obveze iz prethodne godine za materijalnu štetu uzrokovanu elementarnom nepogodom, naknade za umanjenu vrijednost nekretnina te pomoći najvećim dijelom podmirene.</w:t>
      </w:r>
    </w:p>
    <w:p w:rsidR="00076E84" w:rsidRDefault="00076E84" w:rsidP="00076E84">
      <w:pPr>
        <w:spacing w:after="0"/>
        <w:jc w:val="both"/>
        <w:rPr>
          <w:b/>
        </w:rPr>
      </w:pPr>
      <w:r>
        <w:t xml:space="preserve"> </w:t>
      </w:r>
    </w:p>
    <w:p w:rsidR="00076E84" w:rsidRDefault="00076E84" w:rsidP="00076E84">
      <w:pPr>
        <w:jc w:val="both"/>
      </w:pPr>
      <w:r w:rsidRPr="00C64BC2">
        <w:rPr>
          <w:b/>
        </w:rPr>
        <w:t>Bilješka br. 2</w:t>
      </w:r>
      <w:r>
        <w:rPr>
          <w:b/>
        </w:rPr>
        <w:t>9</w:t>
      </w:r>
      <w:r>
        <w:t xml:space="preserve"> – AOP 192 Obveze za kredite i zajmove </w:t>
      </w:r>
    </w:p>
    <w:p w:rsidR="00076E84" w:rsidRDefault="00076E84" w:rsidP="00076E84">
      <w:pPr>
        <w:jc w:val="both"/>
      </w:pPr>
      <w:r>
        <w:t>Analitika obveza za kredite:</w:t>
      </w:r>
    </w:p>
    <w:tbl>
      <w:tblPr>
        <w:tblW w:w="9300" w:type="dxa"/>
        <w:tblLook w:val="04A0" w:firstRow="1" w:lastRow="0" w:firstColumn="1" w:lastColumn="0" w:noHBand="0" w:noVBand="1"/>
      </w:tblPr>
      <w:tblGrid>
        <w:gridCol w:w="628"/>
        <w:gridCol w:w="3120"/>
        <w:gridCol w:w="1508"/>
        <w:gridCol w:w="1420"/>
        <w:gridCol w:w="1380"/>
        <w:gridCol w:w="1508"/>
      </w:tblGrid>
      <w:tr w:rsidR="00076E84" w:rsidRPr="00D57945" w:rsidTr="00CF6359">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E84" w:rsidRPr="00D57945" w:rsidRDefault="00076E84" w:rsidP="00CF6359">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Red. br.</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rsidR="00076E84" w:rsidRPr="00D57945" w:rsidRDefault="00076E84" w:rsidP="00CF6359">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 xml:space="preserve">Banka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76E84" w:rsidRPr="00D57945" w:rsidRDefault="00076E84" w:rsidP="00CF6359">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Stanje 01.01.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76E84" w:rsidRPr="00D57945" w:rsidRDefault="00076E84" w:rsidP="00CF6359">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Otplate glavnice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076E84" w:rsidRPr="00D57945" w:rsidRDefault="00076E84" w:rsidP="00CF6359">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Krediti i zajmovi u 2018.</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76E84" w:rsidRPr="00D57945" w:rsidRDefault="00076E84" w:rsidP="00CF6359">
            <w:pPr>
              <w:spacing w:after="0" w:line="240" w:lineRule="auto"/>
              <w:jc w:val="center"/>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Stanje obveza 31.12.</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1</w:t>
            </w:r>
          </w:p>
        </w:tc>
        <w:tc>
          <w:tcPr>
            <w:tcW w:w="3120" w:type="dxa"/>
            <w:tcBorders>
              <w:top w:val="nil"/>
              <w:left w:val="nil"/>
              <w:bottom w:val="single" w:sz="4" w:space="0" w:color="auto"/>
              <w:right w:val="single" w:sz="4" w:space="0" w:color="auto"/>
            </w:tcBorders>
            <w:shd w:val="clear" w:color="auto" w:fill="auto"/>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HBOR</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13.278.299</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3.258.166</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10.020.133</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2</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xml:space="preserve">Zagrebačka banka </w:t>
            </w:r>
            <w:r w:rsidRPr="00D57945">
              <w:rPr>
                <w:rFonts w:ascii="Calibri" w:eastAsia="Times New Roman" w:hAnsi="Calibri" w:cs="Calibri"/>
                <w:color w:val="000000"/>
                <w:sz w:val="16"/>
                <w:szCs w:val="16"/>
                <w:lang w:eastAsia="hr-HR"/>
              </w:rPr>
              <w:t>(5100337866)</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425.923.892</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58.174.679</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367.749.213</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3</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xml:space="preserve">Privredna banka </w:t>
            </w:r>
            <w:r w:rsidRPr="00D57945">
              <w:rPr>
                <w:rFonts w:ascii="Calibri" w:eastAsia="Times New Roman" w:hAnsi="Calibri" w:cs="Calibri"/>
                <w:color w:val="000000"/>
                <w:sz w:val="16"/>
                <w:szCs w:val="16"/>
                <w:lang w:eastAsia="hr-HR"/>
              </w:rPr>
              <w:t>(5110185865)</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232.454.716</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31.809.550</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200.645.166</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4</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xml:space="preserve">Zagrebačka banka </w:t>
            </w:r>
            <w:r w:rsidRPr="00D57945">
              <w:rPr>
                <w:rFonts w:ascii="Calibri" w:eastAsia="Times New Roman" w:hAnsi="Calibri" w:cs="Calibri"/>
                <w:color w:val="000000"/>
                <w:sz w:val="16"/>
                <w:szCs w:val="16"/>
                <w:lang w:eastAsia="hr-HR"/>
              </w:rPr>
              <w:t>(5100341653)</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38.693.738</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38.693.738</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0</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5</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xml:space="preserve">Zagrebačka banka </w:t>
            </w:r>
            <w:r w:rsidRPr="00D57945">
              <w:rPr>
                <w:rFonts w:ascii="Calibri" w:eastAsia="Times New Roman" w:hAnsi="Calibri" w:cs="Calibri"/>
                <w:color w:val="000000"/>
                <w:sz w:val="16"/>
                <w:szCs w:val="16"/>
                <w:lang w:eastAsia="hr-HR"/>
              </w:rPr>
              <w:t>(5100480165)</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96.921.903</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22.979.911</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73.941.992</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6</w:t>
            </w:r>
          </w:p>
        </w:tc>
        <w:tc>
          <w:tcPr>
            <w:tcW w:w="3120" w:type="dxa"/>
            <w:tcBorders>
              <w:top w:val="nil"/>
              <w:left w:val="nil"/>
              <w:bottom w:val="single" w:sz="4" w:space="0" w:color="auto"/>
              <w:right w:val="single" w:sz="4" w:space="0" w:color="auto"/>
            </w:tcBorders>
            <w:shd w:val="clear" w:color="auto" w:fill="auto"/>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Erste bank</w:t>
            </w:r>
            <w:r w:rsidRPr="00D57945">
              <w:rPr>
                <w:rFonts w:ascii="Calibri" w:eastAsia="Times New Roman" w:hAnsi="Calibri" w:cs="Calibri"/>
                <w:color w:val="000000"/>
                <w:sz w:val="16"/>
                <w:szCs w:val="16"/>
                <w:lang w:eastAsia="hr-HR"/>
              </w:rPr>
              <w:t xml:space="preserve"> (5114216740)</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143.728.941</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23.032.544</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120.696.397</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7</w:t>
            </w:r>
          </w:p>
        </w:tc>
        <w:tc>
          <w:tcPr>
            <w:tcW w:w="3120" w:type="dxa"/>
            <w:tcBorders>
              <w:top w:val="nil"/>
              <w:left w:val="nil"/>
              <w:bottom w:val="single" w:sz="4" w:space="0" w:color="auto"/>
              <w:right w:val="single" w:sz="4" w:space="0" w:color="auto"/>
            </w:tcBorders>
            <w:shd w:val="clear" w:color="auto" w:fill="auto"/>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Erste bank</w:t>
            </w:r>
            <w:r w:rsidRPr="00D57945">
              <w:rPr>
                <w:rFonts w:ascii="Calibri" w:eastAsia="Times New Roman" w:hAnsi="Calibri" w:cs="Calibri"/>
                <w:color w:val="000000"/>
                <w:sz w:val="16"/>
                <w:szCs w:val="16"/>
                <w:lang w:eastAsia="hr-HR"/>
              </w:rPr>
              <w:t xml:space="preserve"> (5000739943)</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200.000.000</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25.000.000</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175.000.000</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8</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Zagrebačka banka</w:t>
            </w:r>
            <w:r w:rsidRPr="00D57945">
              <w:rPr>
                <w:rFonts w:ascii="Calibri" w:eastAsia="Times New Roman" w:hAnsi="Calibri" w:cs="Calibri"/>
                <w:color w:val="000000"/>
                <w:sz w:val="16"/>
                <w:szCs w:val="16"/>
                <w:lang w:eastAsia="hr-HR"/>
              </w:rPr>
              <w:t xml:space="preserve"> (5100465366)</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250.000.000</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0</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250.000.000</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9</w:t>
            </w:r>
          </w:p>
        </w:tc>
        <w:tc>
          <w:tcPr>
            <w:tcW w:w="3120" w:type="dxa"/>
            <w:tcBorders>
              <w:top w:val="nil"/>
              <w:left w:val="nil"/>
              <w:bottom w:val="single" w:sz="4" w:space="0" w:color="auto"/>
              <w:right w:val="single" w:sz="4" w:space="0" w:color="auto"/>
            </w:tcBorders>
            <w:shd w:val="clear" w:color="000000" w:fill="FFFFFF"/>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xml:space="preserve">Zagrebačka banka </w:t>
            </w:r>
            <w:r w:rsidRPr="00D57945">
              <w:rPr>
                <w:rFonts w:ascii="Calibri" w:eastAsia="Times New Roman" w:hAnsi="Calibri" w:cs="Calibri"/>
                <w:color w:val="000000"/>
                <w:sz w:val="16"/>
                <w:szCs w:val="16"/>
                <w:lang w:eastAsia="hr-HR"/>
              </w:rPr>
              <w:t>(5100489092)</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250.000.000</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250.000.000</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10</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Zagrebačka banka (ZOV)</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116.137.823</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116.137.823</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125.347.998</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125.347.998</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11</w:t>
            </w:r>
          </w:p>
        </w:tc>
        <w:tc>
          <w:tcPr>
            <w:tcW w:w="3120" w:type="dxa"/>
            <w:tcBorders>
              <w:top w:val="nil"/>
              <w:left w:val="nil"/>
              <w:bottom w:val="single" w:sz="4" w:space="0" w:color="auto"/>
              <w:right w:val="single" w:sz="4" w:space="0" w:color="auto"/>
            </w:tcBorders>
            <w:shd w:val="clear" w:color="auto" w:fill="auto"/>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Erste bank (ZOV)</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83.349.178</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83.349.178</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12</w:t>
            </w:r>
          </w:p>
        </w:tc>
        <w:tc>
          <w:tcPr>
            <w:tcW w:w="3120" w:type="dxa"/>
            <w:tcBorders>
              <w:top w:val="nil"/>
              <w:left w:val="nil"/>
              <w:bottom w:val="single" w:sz="4" w:space="0" w:color="auto"/>
              <w:right w:val="single" w:sz="4" w:space="0" w:color="auto"/>
            </w:tcBorders>
            <w:shd w:val="clear" w:color="auto" w:fill="auto"/>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Erste bank (ZET)</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99.451.320</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99.451.320</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13</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Zagrebačka banka-Lašćinska</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108.789.872</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9.076.769</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color w:val="000000"/>
                <w:lang w:eastAsia="hr-HR"/>
              </w:rPr>
            </w:pPr>
            <w:r w:rsidRPr="00D57945">
              <w:rPr>
                <w:rFonts w:ascii="Calibri" w:eastAsia="Times New Roman" w:hAnsi="Calibri" w:cs="Calibri"/>
                <w:color w:val="000000"/>
                <w:lang w:eastAsia="hr-HR"/>
              </w:rPr>
              <w:t>99.713.103</w:t>
            </w:r>
          </w:p>
        </w:tc>
      </w:tr>
      <w:tr w:rsidR="00076E84" w:rsidRPr="00D57945" w:rsidTr="00CF635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center"/>
              <w:rPr>
                <w:rFonts w:ascii="Calibri" w:eastAsia="Times New Roman" w:hAnsi="Calibri" w:cs="Calibri"/>
                <w:color w:val="000000"/>
                <w:lang w:eastAsia="hr-HR"/>
              </w:rPr>
            </w:pPr>
            <w:r w:rsidRPr="00D57945">
              <w:rPr>
                <w:rFonts w:ascii="Calibri" w:eastAsia="Times New Roman" w:hAnsi="Calibri" w:cs="Calibri"/>
                <w:color w:val="000000"/>
                <w:lang w:eastAsia="hr-HR"/>
              </w:rPr>
              <w:t> </w:t>
            </w:r>
          </w:p>
        </w:tc>
        <w:tc>
          <w:tcPr>
            <w:tcW w:w="31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UKUPNO</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1.625.929.184</w:t>
            </w:r>
          </w:p>
        </w:tc>
        <w:tc>
          <w:tcPr>
            <w:tcW w:w="142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328.163.180</w:t>
            </w:r>
          </w:p>
        </w:tc>
        <w:tc>
          <w:tcPr>
            <w:tcW w:w="138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558.148.496</w:t>
            </w:r>
          </w:p>
        </w:tc>
        <w:tc>
          <w:tcPr>
            <w:tcW w:w="1440" w:type="dxa"/>
            <w:tcBorders>
              <w:top w:val="nil"/>
              <w:left w:val="nil"/>
              <w:bottom w:val="single" w:sz="4" w:space="0" w:color="auto"/>
              <w:right w:val="single" w:sz="4" w:space="0" w:color="auto"/>
            </w:tcBorders>
            <w:shd w:val="clear" w:color="auto" w:fill="auto"/>
            <w:noWrap/>
            <w:vAlign w:val="bottom"/>
            <w:hideMark/>
          </w:tcPr>
          <w:p w:rsidR="00076E84" w:rsidRPr="00D57945" w:rsidRDefault="00076E84" w:rsidP="00CF6359">
            <w:pPr>
              <w:spacing w:after="0" w:line="240" w:lineRule="auto"/>
              <w:jc w:val="right"/>
              <w:rPr>
                <w:rFonts w:ascii="Calibri" w:eastAsia="Times New Roman" w:hAnsi="Calibri" w:cs="Calibri"/>
                <w:b/>
                <w:bCs/>
                <w:color w:val="000000"/>
                <w:lang w:eastAsia="hr-HR"/>
              </w:rPr>
            </w:pPr>
            <w:r w:rsidRPr="00D57945">
              <w:rPr>
                <w:rFonts w:ascii="Calibri" w:eastAsia="Times New Roman" w:hAnsi="Calibri" w:cs="Calibri"/>
                <w:b/>
                <w:bCs/>
                <w:color w:val="000000"/>
                <w:lang w:eastAsia="hr-HR"/>
              </w:rPr>
              <w:t>1.855.914.500</w:t>
            </w:r>
          </w:p>
        </w:tc>
      </w:tr>
    </w:tbl>
    <w:p w:rsidR="00076E84" w:rsidRDefault="00076E84" w:rsidP="00076E84">
      <w:pPr>
        <w:spacing w:after="0"/>
        <w:jc w:val="both"/>
      </w:pPr>
    </w:p>
    <w:p w:rsidR="00076E84" w:rsidRPr="00ED515C" w:rsidRDefault="00076E84" w:rsidP="00076E84">
      <w:pPr>
        <w:jc w:val="both"/>
        <w:rPr>
          <w:sz w:val="24"/>
          <w:szCs w:val="24"/>
        </w:rPr>
      </w:pPr>
      <w:r w:rsidRPr="00ED515C">
        <w:rPr>
          <w:color w:val="000000"/>
          <w:sz w:val="24"/>
          <w:szCs w:val="24"/>
          <w:shd w:val="clear" w:color="auto" w:fill="FFFFFF"/>
        </w:rPr>
        <w:t xml:space="preserve">U </w:t>
      </w:r>
      <w:r>
        <w:rPr>
          <w:color w:val="000000"/>
          <w:sz w:val="24"/>
          <w:szCs w:val="24"/>
          <w:shd w:val="clear" w:color="auto" w:fill="FFFFFF"/>
        </w:rPr>
        <w:t xml:space="preserve">rujnu </w:t>
      </w:r>
      <w:r w:rsidRPr="00ED515C">
        <w:rPr>
          <w:color w:val="000000"/>
          <w:sz w:val="24"/>
          <w:szCs w:val="24"/>
          <w:shd w:val="clear" w:color="auto" w:fill="FFFFFF"/>
        </w:rPr>
        <w:t xml:space="preserve">2018. </w:t>
      </w:r>
      <w:r>
        <w:rPr>
          <w:color w:val="000000"/>
          <w:sz w:val="24"/>
          <w:szCs w:val="24"/>
          <w:shd w:val="clear" w:color="auto" w:fill="FFFFFF"/>
        </w:rPr>
        <w:t xml:space="preserve">godine Grad Zagreb </w:t>
      </w:r>
      <w:r w:rsidRPr="00ED515C">
        <w:rPr>
          <w:color w:val="000000"/>
          <w:sz w:val="24"/>
          <w:szCs w:val="24"/>
          <w:shd w:val="clear" w:color="auto" w:fill="FFFFFF"/>
        </w:rPr>
        <w:t xml:space="preserve">kreditno </w:t>
      </w:r>
      <w:r>
        <w:rPr>
          <w:color w:val="000000"/>
          <w:sz w:val="24"/>
          <w:szCs w:val="24"/>
          <w:shd w:val="clear" w:color="auto" w:fill="FFFFFF"/>
        </w:rPr>
        <w:t>se</w:t>
      </w:r>
      <w:r w:rsidRPr="00ED515C">
        <w:rPr>
          <w:color w:val="000000"/>
          <w:sz w:val="24"/>
          <w:szCs w:val="24"/>
          <w:shd w:val="clear" w:color="auto" w:fill="FFFFFF"/>
        </w:rPr>
        <w:t xml:space="preserve"> zaduži</w:t>
      </w:r>
      <w:r>
        <w:rPr>
          <w:color w:val="000000"/>
          <w:sz w:val="24"/>
          <w:szCs w:val="24"/>
          <w:shd w:val="clear" w:color="auto" w:fill="FFFFFF"/>
        </w:rPr>
        <w:t>o kod Zagrebačke banke d.d. u iznosu</w:t>
      </w:r>
      <w:r w:rsidRPr="00ED515C">
        <w:rPr>
          <w:color w:val="000000"/>
          <w:sz w:val="24"/>
          <w:szCs w:val="24"/>
          <w:shd w:val="clear" w:color="auto" w:fill="FFFFFF"/>
        </w:rPr>
        <w:t xml:space="preserve"> od 250.000.000,00 kuna za </w:t>
      </w:r>
      <w:r>
        <w:rPr>
          <w:color w:val="000000"/>
          <w:sz w:val="24"/>
          <w:szCs w:val="24"/>
          <w:shd w:val="clear" w:color="auto" w:fill="FFFFFF"/>
        </w:rPr>
        <w:t xml:space="preserve">financiranje investicijskih projekata. Ujedno je priznao dospjela potraživanja ZOV-a i Zet-a vezana uz otkup potraživanja od banaka s ciljem odgode plaćanja utvrđenih obveza u iznosu od 308.148.496 kuna. </w:t>
      </w:r>
    </w:p>
    <w:p w:rsidR="00076E84" w:rsidRDefault="00076E84" w:rsidP="00076E84">
      <w:r w:rsidRPr="00505402">
        <w:rPr>
          <w:b/>
        </w:rPr>
        <w:t xml:space="preserve">Bilješka br. </w:t>
      </w:r>
      <w:r>
        <w:rPr>
          <w:b/>
        </w:rPr>
        <w:t>30</w:t>
      </w:r>
      <w:r>
        <w:t xml:space="preserve"> – AOP 224 Vlastiti izvori i Ispravak vlastitih izvora za obveze</w:t>
      </w:r>
    </w:p>
    <w:tbl>
      <w:tblPr>
        <w:tblStyle w:val="TableGrid"/>
        <w:tblW w:w="0" w:type="auto"/>
        <w:tblLook w:val="04A0" w:firstRow="1" w:lastRow="0" w:firstColumn="1" w:lastColumn="0" w:noHBand="0" w:noVBand="1"/>
      </w:tblPr>
      <w:tblGrid>
        <w:gridCol w:w="805"/>
        <w:gridCol w:w="1975"/>
        <w:gridCol w:w="568"/>
        <w:gridCol w:w="1660"/>
        <w:gridCol w:w="1660"/>
        <w:gridCol w:w="1122"/>
        <w:gridCol w:w="1498"/>
      </w:tblGrid>
      <w:tr w:rsidR="00076E84" w:rsidRPr="00774066" w:rsidTr="00CF6359">
        <w:trPr>
          <w:trHeight w:val="600"/>
        </w:trPr>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0" w:type="auto"/>
            <w:shd w:val="clear" w:color="auto" w:fill="DEEAF6" w:themeFill="accent1" w:themeFillTint="33"/>
            <w:vAlign w:val="center"/>
            <w:hideMark/>
          </w:tcPr>
          <w:p w:rsidR="00076E84" w:rsidRPr="00774066" w:rsidRDefault="00076E84" w:rsidP="00CF6359">
            <w:pPr>
              <w:jc w:val="center"/>
            </w:pPr>
            <w:r w:rsidRPr="00774066">
              <w:t>OPIS</w:t>
            </w:r>
          </w:p>
        </w:tc>
        <w:tc>
          <w:tcPr>
            <w:tcW w:w="0" w:type="auto"/>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0" w:type="auto"/>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0" w:type="auto"/>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0" w:type="auto"/>
            <w:shd w:val="clear" w:color="auto" w:fill="DEEAF6" w:themeFill="accent1" w:themeFillTint="33"/>
            <w:vAlign w:val="center"/>
            <w:hideMark/>
          </w:tcPr>
          <w:p w:rsidR="00076E84" w:rsidRPr="00774066" w:rsidRDefault="00076E84" w:rsidP="00CF6359">
            <w:pPr>
              <w:jc w:val="center"/>
            </w:pPr>
            <w:r>
              <w:t>Povećanje</w:t>
            </w:r>
          </w:p>
        </w:tc>
      </w:tr>
      <w:tr w:rsidR="00076E84" w:rsidRPr="00774066" w:rsidTr="00CF6359">
        <w:trPr>
          <w:trHeight w:val="195"/>
        </w:trPr>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0" w:type="auto"/>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0" w:type="auto"/>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7</w:t>
            </w:r>
            <w:r>
              <w:rPr>
                <w:sz w:val="16"/>
                <w:szCs w:val="16"/>
              </w:rPr>
              <w:t>=5-4</w:t>
            </w:r>
          </w:p>
        </w:tc>
      </w:tr>
      <w:tr w:rsidR="00076E84" w:rsidRPr="000362D3" w:rsidTr="00CF6359">
        <w:trPr>
          <w:trHeight w:val="300"/>
        </w:trPr>
        <w:tc>
          <w:tcPr>
            <w:tcW w:w="0" w:type="auto"/>
            <w:noWrap/>
            <w:vAlign w:val="center"/>
            <w:hideMark/>
          </w:tcPr>
          <w:p w:rsidR="00076E84" w:rsidRPr="000362D3" w:rsidRDefault="00076E84" w:rsidP="00CF6359">
            <w:pPr>
              <w:jc w:val="right"/>
            </w:pPr>
            <w:r>
              <w:t>91</w:t>
            </w:r>
          </w:p>
        </w:tc>
        <w:tc>
          <w:tcPr>
            <w:tcW w:w="0" w:type="auto"/>
            <w:vAlign w:val="center"/>
            <w:hideMark/>
          </w:tcPr>
          <w:p w:rsidR="00076E84" w:rsidRPr="000362D3" w:rsidRDefault="00076E84" w:rsidP="00CF6359">
            <w:r>
              <w:t>Vlastiti izvori i ispravak vlastitih izvora</w:t>
            </w:r>
          </w:p>
        </w:tc>
        <w:tc>
          <w:tcPr>
            <w:tcW w:w="0" w:type="auto"/>
            <w:noWrap/>
            <w:vAlign w:val="center"/>
            <w:hideMark/>
          </w:tcPr>
          <w:p w:rsidR="00076E84" w:rsidRPr="000362D3" w:rsidRDefault="00076E84" w:rsidP="00CF6359">
            <w:pPr>
              <w:jc w:val="right"/>
            </w:pPr>
            <w:r>
              <w:t>224</w:t>
            </w:r>
          </w:p>
        </w:tc>
        <w:tc>
          <w:tcPr>
            <w:tcW w:w="0" w:type="auto"/>
            <w:noWrap/>
            <w:vAlign w:val="center"/>
            <w:hideMark/>
          </w:tcPr>
          <w:p w:rsidR="00076E84" w:rsidRPr="00CD5753" w:rsidRDefault="00076E84" w:rsidP="00CF6359">
            <w:pPr>
              <w:jc w:val="right"/>
            </w:pPr>
            <w:r w:rsidRPr="00CD5753">
              <w:t>14.679.719.641</w:t>
            </w:r>
          </w:p>
        </w:tc>
        <w:tc>
          <w:tcPr>
            <w:tcW w:w="0" w:type="auto"/>
            <w:noWrap/>
            <w:vAlign w:val="center"/>
          </w:tcPr>
          <w:p w:rsidR="00076E84" w:rsidRDefault="00076E84" w:rsidP="00CF6359">
            <w:pPr>
              <w:jc w:val="right"/>
            </w:pPr>
            <w:r>
              <w:t>15.185.160.570</w:t>
            </w:r>
          </w:p>
        </w:tc>
        <w:tc>
          <w:tcPr>
            <w:tcW w:w="0" w:type="auto"/>
            <w:noWrap/>
            <w:vAlign w:val="center"/>
          </w:tcPr>
          <w:p w:rsidR="00076E84" w:rsidRPr="003F015E" w:rsidRDefault="00076E84" w:rsidP="00CF6359">
            <w:pPr>
              <w:jc w:val="right"/>
            </w:pPr>
            <w:r>
              <w:t>103,4</w:t>
            </w:r>
          </w:p>
        </w:tc>
        <w:tc>
          <w:tcPr>
            <w:tcW w:w="0" w:type="auto"/>
            <w:noWrap/>
            <w:vAlign w:val="center"/>
          </w:tcPr>
          <w:p w:rsidR="00076E84" w:rsidRDefault="00076E84" w:rsidP="00CF6359">
            <w:pPr>
              <w:jc w:val="right"/>
            </w:pPr>
            <w:r>
              <w:t>505.440.929</w:t>
            </w:r>
          </w:p>
        </w:tc>
      </w:tr>
      <w:tr w:rsidR="00076E84" w:rsidRPr="000362D3" w:rsidTr="00CF6359">
        <w:trPr>
          <w:trHeight w:val="300"/>
        </w:trPr>
        <w:tc>
          <w:tcPr>
            <w:tcW w:w="0" w:type="auto"/>
            <w:noWrap/>
          </w:tcPr>
          <w:p w:rsidR="00076E84" w:rsidRPr="007B092F" w:rsidRDefault="00076E84" w:rsidP="00CF6359">
            <w:pPr>
              <w:jc w:val="right"/>
            </w:pPr>
            <w:r w:rsidRPr="007B092F">
              <w:t>911</w:t>
            </w:r>
          </w:p>
        </w:tc>
        <w:tc>
          <w:tcPr>
            <w:tcW w:w="0" w:type="auto"/>
          </w:tcPr>
          <w:p w:rsidR="00076E84" w:rsidRPr="007B092F" w:rsidRDefault="00076E84" w:rsidP="00CF6359">
            <w:r w:rsidRPr="007B092F">
              <w:t>Vlastiti izvori</w:t>
            </w:r>
          </w:p>
        </w:tc>
        <w:tc>
          <w:tcPr>
            <w:tcW w:w="0" w:type="auto"/>
            <w:noWrap/>
          </w:tcPr>
          <w:p w:rsidR="00076E84" w:rsidRPr="007B092F" w:rsidRDefault="00076E84" w:rsidP="00CF6359">
            <w:pPr>
              <w:jc w:val="right"/>
            </w:pPr>
            <w:r w:rsidRPr="007B092F">
              <w:t>226</w:t>
            </w:r>
          </w:p>
        </w:tc>
        <w:tc>
          <w:tcPr>
            <w:tcW w:w="0" w:type="auto"/>
            <w:noWrap/>
            <w:vAlign w:val="center"/>
          </w:tcPr>
          <w:p w:rsidR="00076E84" w:rsidRPr="00CD5753" w:rsidRDefault="00076E84" w:rsidP="00CF6359">
            <w:pPr>
              <w:jc w:val="right"/>
            </w:pPr>
            <w:r w:rsidRPr="00CD5753">
              <w:t>15.447.224.822</w:t>
            </w:r>
          </w:p>
        </w:tc>
        <w:tc>
          <w:tcPr>
            <w:tcW w:w="0" w:type="auto"/>
            <w:noWrap/>
          </w:tcPr>
          <w:p w:rsidR="00076E84" w:rsidRPr="007B092F" w:rsidRDefault="00076E84" w:rsidP="00CF6359">
            <w:pPr>
              <w:jc w:val="right"/>
            </w:pPr>
            <w:r>
              <w:t>17.041.411.770</w:t>
            </w:r>
          </w:p>
        </w:tc>
        <w:tc>
          <w:tcPr>
            <w:tcW w:w="0" w:type="auto"/>
            <w:noWrap/>
          </w:tcPr>
          <w:p w:rsidR="00076E84" w:rsidRPr="007B092F" w:rsidRDefault="00076E84" w:rsidP="00CF6359">
            <w:pPr>
              <w:jc w:val="right"/>
            </w:pPr>
            <w:r>
              <w:t>110,3</w:t>
            </w:r>
          </w:p>
        </w:tc>
        <w:tc>
          <w:tcPr>
            <w:tcW w:w="0" w:type="auto"/>
            <w:noWrap/>
          </w:tcPr>
          <w:p w:rsidR="00076E84" w:rsidRDefault="00076E84" w:rsidP="00CF6359">
            <w:pPr>
              <w:jc w:val="right"/>
            </w:pPr>
            <w:r>
              <w:t>1.594.186.948</w:t>
            </w:r>
          </w:p>
        </w:tc>
      </w:tr>
      <w:tr w:rsidR="00076E84" w:rsidRPr="000362D3" w:rsidTr="00CF6359">
        <w:trPr>
          <w:trHeight w:val="300"/>
        </w:trPr>
        <w:tc>
          <w:tcPr>
            <w:tcW w:w="0" w:type="auto"/>
            <w:noWrap/>
            <w:vAlign w:val="center"/>
          </w:tcPr>
          <w:p w:rsidR="00076E84" w:rsidRDefault="00076E84" w:rsidP="00CF6359">
            <w:pPr>
              <w:jc w:val="right"/>
            </w:pPr>
            <w:r>
              <w:t>912</w:t>
            </w:r>
          </w:p>
        </w:tc>
        <w:tc>
          <w:tcPr>
            <w:tcW w:w="0" w:type="auto"/>
            <w:vAlign w:val="center"/>
          </w:tcPr>
          <w:p w:rsidR="00076E84" w:rsidRDefault="00076E84" w:rsidP="00CF6359">
            <w:r w:rsidRPr="0017765E">
              <w:t>Ispravak vlastitih izvora za obveze</w:t>
            </w:r>
          </w:p>
        </w:tc>
        <w:tc>
          <w:tcPr>
            <w:tcW w:w="0" w:type="auto"/>
            <w:noWrap/>
            <w:vAlign w:val="center"/>
          </w:tcPr>
          <w:p w:rsidR="00076E84" w:rsidRDefault="00076E84" w:rsidP="00CF6359">
            <w:pPr>
              <w:jc w:val="right"/>
            </w:pPr>
            <w:r>
              <w:t>229</w:t>
            </w:r>
          </w:p>
        </w:tc>
        <w:tc>
          <w:tcPr>
            <w:tcW w:w="0" w:type="auto"/>
            <w:noWrap/>
            <w:vAlign w:val="center"/>
          </w:tcPr>
          <w:p w:rsidR="00076E84" w:rsidRDefault="00076E84" w:rsidP="00CF6359">
            <w:pPr>
              <w:jc w:val="right"/>
            </w:pPr>
            <w:r w:rsidRPr="00CD5753">
              <w:t>767.505.181</w:t>
            </w:r>
          </w:p>
        </w:tc>
        <w:tc>
          <w:tcPr>
            <w:tcW w:w="0" w:type="auto"/>
            <w:noWrap/>
            <w:vAlign w:val="center"/>
          </w:tcPr>
          <w:p w:rsidR="00076E84" w:rsidRPr="0017765E" w:rsidRDefault="00076E84" w:rsidP="00CF6359">
            <w:pPr>
              <w:jc w:val="right"/>
            </w:pPr>
            <w:r>
              <w:t>1.856.251.200</w:t>
            </w:r>
          </w:p>
        </w:tc>
        <w:tc>
          <w:tcPr>
            <w:tcW w:w="0" w:type="auto"/>
            <w:noWrap/>
            <w:vAlign w:val="center"/>
          </w:tcPr>
          <w:p w:rsidR="00076E84" w:rsidRDefault="00076E84" w:rsidP="00CF6359">
            <w:pPr>
              <w:jc w:val="right"/>
            </w:pPr>
            <w:r>
              <w:t>241,9</w:t>
            </w:r>
          </w:p>
        </w:tc>
        <w:tc>
          <w:tcPr>
            <w:tcW w:w="0" w:type="auto"/>
            <w:noWrap/>
            <w:vAlign w:val="center"/>
          </w:tcPr>
          <w:p w:rsidR="00076E84" w:rsidRDefault="00076E84" w:rsidP="00CF6359">
            <w:pPr>
              <w:jc w:val="right"/>
            </w:pPr>
            <w:r>
              <w:t>1.088.746.019</w:t>
            </w:r>
          </w:p>
        </w:tc>
      </w:tr>
    </w:tbl>
    <w:p w:rsidR="00076E84" w:rsidRDefault="00076E84" w:rsidP="00076E84">
      <w:pPr>
        <w:spacing w:after="0"/>
      </w:pPr>
    </w:p>
    <w:p w:rsidR="00076E84" w:rsidRDefault="00076E84" w:rsidP="00076E84">
      <w:pPr>
        <w:spacing w:after="0"/>
      </w:pPr>
      <w:r>
        <w:t>Vlastiti izvori i ispravak vlastitih izvora iznose 15.185.160.570 kn i povećani su za 505.440.929 kn ili 3,4  % u odnosu na prethodnu godinu.</w:t>
      </w:r>
    </w:p>
    <w:p w:rsidR="00076E84" w:rsidRDefault="00076E84" w:rsidP="00076E84">
      <w:pPr>
        <w:spacing w:after="0"/>
        <w:rPr>
          <w:b/>
        </w:rPr>
      </w:pPr>
    </w:p>
    <w:p w:rsidR="00076E84" w:rsidRDefault="00076E84" w:rsidP="00076E84">
      <w:r>
        <w:rPr>
          <w:b/>
        </w:rPr>
        <w:t>Bilješka br. 31</w:t>
      </w:r>
      <w:r>
        <w:t xml:space="preserve"> – Rezultat poslovanja </w:t>
      </w:r>
    </w:p>
    <w:p w:rsidR="00076E84" w:rsidRDefault="00076E84" w:rsidP="00076E84">
      <w:pPr>
        <w:jc w:val="both"/>
      </w:pPr>
      <w:r>
        <w:lastRenderedPageBreak/>
        <w:t xml:space="preserve">Na kraju izvještajne godine ostvaren je manjak prihoda u ukupnom iznosu od 628.950.238 kn koji je ostvaren, nakon propisanih korekcija prihoda, od viška prihoda poslovanja 3.324.750.150 kn (AOP 233), viška primitaka od financijske imovine u iznosu od 1.312.540.414 kn (AOP 235) i manjka prihoda od nefinancijske imovine 5.266.240.802 kn (AOP 238). </w:t>
      </w:r>
    </w:p>
    <w:p w:rsidR="00076E84" w:rsidRDefault="00076E84" w:rsidP="00076E84">
      <w:pPr>
        <w:jc w:val="both"/>
      </w:pPr>
      <w:r w:rsidRPr="00AB1EC2">
        <w:rPr>
          <w:b/>
        </w:rPr>
        <w:t xml:space="preserve">Bilješka br. </w:t>
      </w:r>
      <w:r>
        <w:rPr>
          <w:b/>
        </w:rPr>
        <w:t>32</w:t>
      </w:r>
      <w:r w:rsidRPr="00AB1EC2">
        <w:t xml:space="preserve"> – </w:t>
      </w:r>
      <w:r>
        <w:t>AOP 244 i AOP 245 Izvanbilančni zapisi</w:t>
      </w:r>
    </w:p>
    <w:p w:rsidR="00076E84" w:rsidRDefault="00076E84" w:rsidP="00076E84">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940"/>
        <w:gridCol w:w="1719"/>
        <w:gridCol w:w="940"/>
        <w:gridCol w:w="1640"/>
        <w:gridCol w:w="1669"/>
        <w:gridCol w:w="973"/>
        <w:gridCol w:w="1407"/>
      </w:tblGrid>
      <w:tr w:rsidR="00076E84" w:rsidRPr="00774066" w:rsidTr="00CF6359">
        <w:trPr>
          <w:trHeight w:val="600"/>
        </w:trPr>
        <w:tc>
          <w:tcPr>
            <w:tcW w:w="940"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RAČUN</w:t>
            </w:r>
          </w:p>
        </w:tc>
        <w:tc>
          <w:tcPr>
            <w:tcW w:w="1719" w:type="dxa"/>
            <w:shd w:val="clear" w:color="auto" w:fill="DEEAF6" w:themeFill="accent1" w:themeFillTint="33"/>
            <w:vAlign w:val="center"/>
            <w:hideMark/>
          </w:tcPr>
          <w:p w:rsidR="00076E84" w:rsidRPr="00774066" w:rsidRDefault="00076E84" w:rsidP="00CF6359">
            <w:pPr>
              <w:jc w:val="center"/>
            </w:pPr>
            <w:r w:rsidRPr="00774066">
              <w:t>OPIS</w:t>
            </w:r>
          </w:p>
        </w:tc>
        <w:tc>
          <w:tcPr>
            <w:tcW w:w="940" w:type="dxa"/>
            <w:shd w:val="clear" w:color="auto" w:fill="DEEAF6" w:themeFill="accent1" w:themeFillTint="33"/>
            <w:noWrap/>
            <w:vAlign w:val="center"/>
            <w:hideMark/>
          </w:tcPr>
          <w:p w:rsidR="00076E84" w:rsidRPr="00184923" w:rsidRDefault="00076E84" w:rsidP="00CF6359">
            <w:pPr>
              <w:jc w:val="center"/>
              <w:rPr>
                <w:sz w:val="20"/>
                <w:szCs w:val="20"/>
              </w:rPr>
            </w:pPr>
            <w:r w:rsidRPr="00184923">
              <w:rPr>
                <w:sz w:val="20"/>
                <w:szCs w:val="20"/>
              </w:rPr>
              <w:t>AOP</w:t>
            </w:r>
          </w:p>
        </w:tc>
        <w:tc>
          <w:tcPr>
            <w:tcW w:w="1640" w:type="dxa"/>
            <w:shd w:val="clear" w:color="auto" w:fill="DEEAF6" w:themeFill="accent1" w:themeFillTint="33"/>
            <w:noWrap/>
            <w:vAlign w:val="center"/>
            <w:hideMark/>
          </w:tcPr>
          <w:p w:rsidR="00076E84" w:rsidRPr="00774066" w:rsidRDefault="00076E84" w:rsidP="00CF6359">
            <w:pPr>
              <w:jc w:val="center"/>
            </w:pPr>
            <w:r w:rsidRPr="00774066">
              <w:t>Stanje 01.01.1</w:t>
            </w:r>
            <w:r>
              <w:t>8</w:t>
            </w:r>
            <w:r w:rsidRPr="00774066">
              <w:t>.</w:t>
            </w:r>
          </w:p>
        </w:tc>
        <w:tc>
          <w:tcPr>
            <w:tcW w:w="1669" w:type="dxa"/>
            <w:shd w:val="clear" w:color="auto" w:fill="DEEAF6" w:themeFill="accent1" w:themeFillTint="33"/>
            <w:noWrap/>
            <w:vAlign w:val="center"/>
            <w:hideMark/>
          </w:tcPr>
          <w:p w:rsidR="00076E84" w:rsidRPr="00774066" w:rsidRDefault="00076E84" w:rsidP="00CF6359">
            <w:pPr>
              <w:jc w:val="center"/>
            </w:pPr>
            <w:r w:rsidRPr="00774066">
              <w:t>Stanje 31.12.1</w:t>
            </w:r>
            <w:r>
              <w:t>8</w:t>
            </w:r>
            <w:r w:rsidRPr="00774066">
              <w:t>.</w:t>
            </w:r>
          </w:p>
        </w:tc>
        <w:tc>
          <w:tcPr>
            <w:tcW w:w="973" w:type="dxa"/>
            <w:shd w:val="clear" w:color="auto" w:fill="DEEAF6" w:themeFill="accent1" w:themeFillTint="33"/>
            <w:vAlign w:val="center"/>
            <w:hideMark/>
          </w:tcPr>
          <w:p w:rsidR="00076E84" w:rsidRPr="00184923" w:rsidRDefault="00076E84" w:rsidP="00CF6359">
            <w:pPr>
              <w:jc w:val="center"/>
              <w:rPr>
                <w:sz w:val="20"/>
                <w:szCs w:val="20"/>
              </w:rPr>
            </w:pPr>
            <w:r w:rsidRPr="00184923">
              <w:rPr>
                <w:sz w:val="20"/>
                <w:szCs w:val="20"/>
              </w:rPr>
              <w:t>Indeks 5/4*100</w:t>
            </w:r>
          </w:p>
        </w:tc>
        <w:tc>
          <w:tcPr>
            <w:tcW w:w="1407" w:type="dxa"/>
            <w:shd w:val="clear" w:color="auto" w:fill="DEEAF6" w:themeFill="accent1" w:themeFillTint="33"/>
            <w:vAlign w:val="center"/>
            <w:hideMark/>
          </w:tcPr>
          <w:p w:rsidR="00076E84" w:rsidRPr="00774066" w:rsidRDefault="00076E84" w:rsidP="00CF6359">
            <w:pPr>
              <w:jc w:val="center"/>
            </w:pPr>
            <w:r>
              <w:t>Smanjenje</w:t>
            </w:r>
          </w:p>
        </w:tc>
      </w:tr>
      <w:tr w:rsidR="00076E84" w:rsidRPr="00774066" w:rsidTr="00CF6359">
        <w:trPr>
          <w:trHeight w:val="195"/>
        </w:trPr>
        <w:tc>
          <w:tcPr>
            <w:tcW w:w="9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1</w:t>
            </w:r>
          </w:p>
        </w:tc>
        <w:tc>
          <w:tcPr>
            <w:tcW w:w="1719" w:type="dxa"/>
            <w:shd w:val="clear" w:color="auto" w:fill="DEEAF6" w:themeFill="accent1" w:themeFillTint="33"/>
            <w:hideMark/>
          </w:tcPr>
          <w:p w:rsidR="00076E84" w:rsidRPr="00774066" w:rsidRDefault="00076E84" w:rsidP="00CF6359">
            <w:pPr>
              <w:jc w:val="center"/>
              <w:rPr>
                <w:sz w:val="16"/>
                <w:szCs w:val="16"/>
              </w:rPr>
            </w:pPr>
            <w:r w:rsidRPr="00774066">
              <w:rPr>
                <w:sz w:val="16"/>
                <w:szCs w:val="16"/>
              </w:rPr>
              <w:t>2</w:t>
            </w:r>
          </w:p>
        </w:tc>
        <w:tc>
          <w:tcPr>
            <w:tcW w:w="9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3</w:t>
            </w:r>
          </w:p>
        </w:tc>
        <w:tc>
          <w:tcPr>
            <w:tcW w:w="1640"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4</w:t>
            </w:r>
          </w:p>
        </w:tc>
        <w:tc>
          <w:tcPr>
            <w:tcW w:w="1669"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5</w:t>
            </w:r>
          </w:p>
        </w:tc>
        <w:tc>
          <w:tcPr>
            <w:tcW w:w="973"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6</w:t>
            </w:r>
          </w:p>
        </w:tc>
        <w:tc>
          <w:tcPr>
            <w:tcW w:w="1407" w:type="dxa"/>
            <w:shd w:val="clear" w:color="auto" w:fill="DEEAF6" w:themeFill="accent1" w:themeFillTint="33"/>
            <w:noWrap/>
            <w:hideMark/>
          </w:tcPr>
          <w:p w:rsidR="00076E84" w:rsidRPr="00774066" w:rsidRDefault="00076E84" w:rsidP="00CF6359">
            <w:pPr>
              <w:jc w:val="center"/>
              <w:rPr>
                <w:sz w:val="16"/>
                <w:szCs w:val="16"/>
              </w:rPr>
            </w:pPr>
            <w:r w:rsidRPr="00774066">
              <w:rPr>
                <w:sz w:val="16"/>
                <w:szCs w:val="16"/>
              </w:rPr>
              <w:t>7</w:t>
            </w:r>
          </w:p>
        </w:tc>
      </w:tr>
      <w:tr w:rsidR="00076E84" w:rsidRPr="0092772F" w:rsidTr="00CF6359">
        <w:trPr>
          <w:trHeight w:val="337"/>
        </w:trPr>
        <w:tc>
          <w:tcPr>
            <w:tcW w:w="940" w:type="dxa"/>
            <w:shd w:val="clear" w:color="auto" w:fill="auto"/>
            <w:noWrap/>
            <w:vAlign w:val="center"/>
          </w:tcPr>
          <w:p w:rsidR="00076E84" w:rsidRPr="0092772F" w:rsidRDefault="00076E84" w:rsidP="00CF6359">
            <w:pPr>
              <w:jc w:val="center"/>
            </w:pPr>
            <w:r w:rsidRPr="0092772F">
              <w:t>991,996</w:t>
            </w:r>
          </w:p>
        </w:tc>
        <w:tc>
          <w:tcPr>
            <w:tcW w:w="1719" w:type="dxa"/>
            <w:shd w:val="clear" w:color="auto" w:fill="auto"/>
            <w:vAlign w:val="center"/>
          </w:tcPr>
          <w:p w:rsidR="00076E84" w:rsidRPr="0092772F" w:rsidRDefault="00076E84" w:rsidP="00CF6359">
            <w:pPr>
              <w:jc w:val="center"/>
            </w:pPr>
            <w:r w:rsidRPr="00F52085">
              <w:t>Izvanbilančni zapisi</w:t>
            </w:r>
          </w:p>
        </w:tc>
        <w:tc>
          <w:tcPr>
            <w:tcW w:w="940" w:type="dxa"/>
            <w:shd w:val="clear" w:color="auto" w:fill="auto"/>
            <w:noWrap/>
            <w:vAlign w:val="center"/>
          </w:tcPr>
          <w:p w:rsidR="00076E84" w:rsidRPr="0092772F" w:rsidRDefault="00076E84" w:rsidP="00CF6359">
            <w:pPr>
              <w:jc w:val="center"/>
            </w:pPr>
            <w:r>
              <w:t>244,245</w:t>
            </w:r>
          </w:p>
        </w:tc>
        <w:tc>
          <w:tcPr>
            <w:tcW w:w="1640" w:type="dxa"/>
            <w:shd w:val="clear" w:color="auto" w:fill="auto"/>
            <w:noWrap/>
            <w:vAlign w:val="center"/>
          </w:tcPr>
          <w:p w:rsidR="00076E84" w:rsidRPr="0092772F" w:rsidRDefault="00076E84" w:rsidP="00CF6359">
            <w:pPr>
              <w:jc w:val="center"/>
            </w:pPr>
            <w:r>
              <w:t>10.837.624.520</w:t>
            </w:r>
          </w:p>
        </w:tc>
        <w:tc>
          <w:tcPr>
            <w:tcW w:w="1669" w:type="dxa"/>
            <w:shd w:val="clear" w:color="auto" w:fill="auto"/>
            <w:noWrap/>
            <w:vAlign w:val="center"/>
          </w:tcPr>
          <w:p w:rsidR="00076E84" w:rsidRPr="0092772F" w:rsidRDefault="00076E84" w:rsidP="00CF6359">
            <w:pPr>
              <w:jc w:val="center"/>
            </w:pPr>
            <w:r>
              <w:t>10.407.504.942</w:t>
            </w:r>
          </w:p>
        </w:tc>
        <w:tc>
          <w:tcPr>
            <w:tcW w:w="973" w:type="dxa"/>
            <w:shd w:val="clear" w:color="auto" w:fill="auto"/>
            <w:noWrap/>
            <w:vAlign w:val="center"/>
          </w:tcPr>
          <w:p w:rsidR="00076E84" w:rsidRPr="0092772F" w:rsidRDefault="00076E84" w:rsidP="00CF6359">
            <w:pPr>
              <w:jc w:val="center"/>
            </w:pPr>
            <w:r>
              <w:t>96,0</w:t>
            </w:r>
          </w:p>
        </w:tc>
        <w:tc>
          <w:tcPr>
            <w:tcW w:w="1407" w:type="dxa"/>
            <w:shd w:val="clear" w:color="auto" w:fill="auto"/>
            <w:noWrap/>
            <w:vAlign w:val="center"/>
          </w:tcPr>
          <w:p w:rsidR="00076E84" w:rsidRPr="0092772F" w:rsidRDefault="00076E84" w:rsidP="00CF6359">
            <w:pPr>
              <w:jc w:val="center"/>
            </w:pPr>
            <w:r>
              <w:t>430.119.578</w:t>
            </w:r>
          </w:p>
        </w:tc>
      </w:tr>
    </w:tbl>
    <w:p w:rsidR="00076E84" w:rsidRDefault="00076E84" w:rsidP="00076E84">
      <w:pPr>
        <w:jc w:val="both"/>
        <w:rPr>
          <w:rFonts w:cstheme="minorHAnsi"/>
        </w:rPr>
      </w:pPr>
    </w:p>
    <w:p w:rsidR="00076E84" w:rsidRDefault="00076E84" w:rsidP="00076E84">
      <w:pPr>
        <w:jc w:val="both"/>
        <w:rPr>
          <w:rFonts w:eastAsia="Times New Roman" w:cstheme="minorHAnsi"/>
          <w:lang w:eastAsia="hr-HR"/>
        </w:rPr>
      </w:pPr>
      <w:r w:rsidRPr="00646A06">
        <w:rPr>
          <w:rFonts w:cstheme="minorHAnsi"/>
        </w:rPr>
        <w:t xml:space="preserve">U izvanbilančnim zapisima evidentirani su oni poslovni događaji koji ne utječu na stanje imovine, obveza i izvora vlasništva niti na </w:t>
      </w:r>
      <w:r>
        <w:rPr>
          <w:rFonts w:cstheme="minorHAnsi"/>
        </w:rPr>
        <w:t>rezultat izvještajnog razdoblja i</w:t>
      </w:r>
      <w:r w:rsidRPr="00646A06">
        <w:rPr>
          <w:rFonts w:cstheme="minorHAnsi"/>
        </w:rPr>
        <w:t xml:space="preserve"> </w:t>
      </w:r>
      <w:r>
        <w:rPr>
          <w:rFonts w:cstheme="minorHAnsi"/>
        </w:rPr>
        <w:t>to: danih suglasnosti za zaduživanje,</w:t>
      </w:r>
      <w:r w:rsidRPr="00646A06">
        <w:rPr>
          <w:rFonts w:cstheme="minorHAnsi"/>
        </w:rPr>
        <w:t xml:space="preserve"> instrumenata osiguranja plaćanja, potencijalnih obveza po osnovu sudskih sporova u tijeku, obveza po osnovi dugogodišnjih ugovora s osnove zakupnina ili najamnina i sl. koji na temelju budućih poslovnih događaja mogu utjecati na promjenu bilančnih pozicija</w:t>
      </w:r>
      <w:r>
        <w:rPr>
          <w:rFonts w:cstheme="minorHAnsi"/>
        </w:rPr>
        <w:t>.</w:t>
      </w:r>
      <w:r w:rsidRPr="00646A06">
        <w:rPr>
          <w:rFonts w:eastAsia="Times New Roman" w:cstheme="minorHAnsi"/>
          <w:lang w:eastAsia="hr-HR"/>
        </w:rPr>
        <w:t xml:space="preserve"> </w:t>
      </w:r>
      <w:r>
        <w:rPr>
          <w:rFonts w:eastAsia="Times New Roman" w:cstheme="minorHAnsi"/>
          <w:lang w:eastAsia="hr-HR"/>
        </w:rPr>
        <w:t xml:space="preserve">Evidentiranje je provedeno </w:t>
      </w:r>
      <w:r w:rsidRPr="00646A06">
        <w:rPr>
          <w:rFonts w:eastAsia="Times New Roman" w:cstheme="minorHAnsi"/>
          <w:lang w:eastAsia="hr-HR"/>
        </w:rPr>
        <w:t>prema dostavljenim podacima iz pomoćnih i analitičkih evidencija nadležnih gradskih upravnih tijela na dan 31.12.201</w:t>
      </w:r>
      <w:r>
        <w:rPr>
          <w:rFonts w:eastAsia="Times New Roman" w:cstheme="minorHAnsi"/>
          <w:lang w:eastAsia="hr-HR"/>
        </w:rPr>
        <w:t>8</w:t>
      </w:r>
      <w:r w:rsidRPr="00646A06">
        <w:rPr>
          <w:rFonts w:eastAsia="Times New Roman" w:cstheme="minorHAnsi"/>
          <w:lang w:eastAsia="hr-HR"/>
        </w:rPr>
        <w:t>.</w:t>
      </w: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Default="00076E84" w:rsidP="00076E84">
      <w:pPr>
        <w:jc w:val="both"/>
        <w:rPr>
          <w:rFonts w:eastAsia="Times New Roman" w:cstheme="minorHAnsi"/>
          <w:b/>
          <w:lang w:eastAsia="hr-HR"/>
        </w:rPr>
      </w:pPr>
    </w:p>
    <w:p w:rsidR="00076E84" w:rsidRPr="00D6443B" w:rsidRDefault="00076E84" w:rsidP="00076E84">
      <w:pPr>
        <w:jc w:val="both"/>
        <w:rPr>
          <w:rFonts w:eastAsia="Times New Roman" w:cstheme="minorHAnsi"/>
          <w:b/>
          <w:sz w:val="28"/>
          <w:szCs w:val="28"/>
          <w:lang w:eastAsia="hr-HR"/>
        </w:rPr>
      </w:pPr>
      <w:r w:rsidRPr="00D6443B">
        <w:rPr>
          <w:rFonts w:eastAsia="Times New Roman" w:cstheme="minorHAnsi"/>
          <w:b/>
          <w:sz w:val="28"/>
          <w:szCs w:val="28"/>
          <w:lang w:eastAsia="hr-HR"/>
        </w:rPr>
        <w:lastRenderedPageBreak/>
        <w:t>OBVEZNE BILJEŠKE UZ BILANCU</w:t>
      </w:r>
    </w:p>
    <w:p w:rsidR="00076E84" w:rsidRPr="00B34332" w:rsidRDefault="00076E84" w:rsidP="00076E84">
      <w:pPr>
        <w:pStyle w:val="ListParagraph"/>
        <w:numPr>
          <w:ilvl w:val="0"/>
          <w:numId w:val="10"/>
        </w:numPr>
        <w:spacing w:after="120" w:line="276" w:lineRule="auto"/>
        <w:jc w:val="both"/>
        <w:rPr>
          <w:rFonts w:eastAsia="Times New Roman" w:cstheme="minorHAnsi"/>
          <w:b/>
          <w:lang w:eastAsia="hr-HR"/>
        </w:rPr>
      </w:pPr>
      <w:r w:rsidRPr="00B34332">
        <w:rPr>
          <w:rFonts w:eastAsia="Times New Roman" w:cstheme="minorHAnsi"/>
          <w:b/>
          <w:lang w:eastAsia="hr-HR"/>
        </w:rPr>
        <w:t>POPIS UGOVORNIH ODNOSA I SLIČNO KOJI UZ ISPUNJAVANJE ODREĐENIH UVJETA MOGU POSTATI OBVEZA ILI IMOVINA (DANA KREDITNA PISMA, HIPOTEKE I SLIČNO)</w:t>
      </w:r>
    </w:p>
    <w:p w:rsidR="00076E84" w:rsidRDefault="00076E84" w:rsidP="00076E84">
      <w:pPr>
        <w:pStyle w:val="ListParagraph"/>
        <w:spacing w:after="120"/>
        <w:ind w:left="765"/>
        <w:jc w:val="both"/>
        <w:rPr>
          <w:rFonts w:eastAsia="Times New Roman" w:cstheme="minorHAnsi"/>
          <w:lang w:eastAsia="hr-HR"/>
        </w:rPr>
      </w:pPr>
    </w:p>
    <w:p w:rsidR="00076E84" w:rsidRPr="00CC03CF" w:rsidRDefault="00076E84" w:rsidP="00076E84">
      <w:pPr>
        <w:pStyle w:val="ListParagraph"/>
        <w:spacing w:after="120"/>
        <w:ind w:left="765"/>
        <w:jc w:val="both"/>
        <w:rPr>
          <w:rFonts w:eastAsia="Times New Roman" w:cstheme="minorHAnsi"/>
          <w:lang w:eastAsia="hr-HR"/>
        </w:rPr>
      </w:pPr>
      <w:r>
        <w:rPr>
          <w:rFonts w:eastAsia="Times New Roman" w:cstheme="minorHAnsi"/>
          <w:lang w:eastAsia="hr-HR"/>
        </w:rPr>
        <w:t xml:space="preserve">I.1. </w:t>
      </w:r>
      <w:r w:rsidRPr="00CC03CF">
        <w:rPr>
          <w:rFonts w:eastAsia="Times New Roman" w:cstheme="minorHAnsi"/>
          <w:lang w:eastAsia="hr-HR"/>
        </w:rPr>
        <w:t>VIŠEGODIŠNJI UGOVORI S OSNOVA ZAKUPNINA ILI NAJAMNINA</w:t>
      </w:r>
    </w:p>
    <w:p w:rsidR="00076E84" w:rsidRDefault="00076E84" w:rsidP="00076E84">
      <w:pPr>
        <w:spacing w:after="120"/>
        <w:jc w:val="both"/>
        <w:rPr>
          <w:rFonts w:eastAsia="Times New Roman" w:cstheme="minorHAnsi"/>
          <w:lang w:eastAsia="hr-HR"/>
        </w:rPr>
      </w:pPr>
      <w:r>
        <w:rPr>
          <w:rFonts w:eastAsia="Times New Roman" w:cstheme="minorHAnsi"/>
          <w:lang w:eastAsia="hr-HR"/>
        </w:rPr>
        <w:tab/>
        <w:t xml:space="preserve">S osnova sklopljenih višegodišnjih ugovora za zakup ili najam poslovnih prostora, objekata i stanova, Grad je preuzeo obveze koje zahtijevaju plaćanje u sljedećim godinama za razdoblje do 2035. godine. </w:t>
      </w:r>
    </w:p>
    <w:tbl>
      <w:tblPr>
        <w:tblW w:w="9021" w:type="dxa"/>
        <w:tblInd w:w="113" w:type="dxa"/>
        <w:tblLook w:val="04A0" w:firstRow="1" w:lastRow="0" w:firstColumn="1" w:lastColumn="0" w:noHBand="0" w:noVBand="1"/>
      </w:tblPr>
      <w:tblGrid>
        <w:gridCol w:w="460"/>
        <w:gridCol w:w="4541"/>
        <w:gridCol w:w="1052"/>
        <w:gridCol w:w="1075"/>
        <w:gridCol w:w="1900"/>
      </w:tblGrid>
      <w:tr w:rsidR="00076E84" w:rsidRPr="00441632" w:rsidTr="00076E84">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RB</w:t>
            </w:r>
          </w:p>
        </w:tc>
        <w:tc>
          <w:tcPr>
            <w:tcW w:w="454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ZAKUP/NAJAM OBJEKTA</w:t>
            </w:r>
          </w:p>
        </w:tc>
        <w:tc>
          <w:tcPr>
            <w:tcW w:w="2120"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UGOVORENO</w:t>
            </w:r>
          </w:p>
        </w:tc>
        <w:tc>
          <w:tcPr>
            <w:tcW w:w="1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ZA OTPLATU</w:t>
            </w:r>
          </w:p>
        </w:tc>
      </w:tr>
      <w:tr w:rsidR="00076E84" w:rsidRPr="00441632" w:rsidTr="00076E84">
        <w:trPr>
          <w:trHeight w:val="300"/>
        </w:trPr>
        <w:tc>
          <w:tcPr>
            <w:tcW w:w="4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76E84" w:rsidRPr="00441632" w:rsidRDefault="00076E84" w:rsidP="00CF6359">
            <w:pPr>
              <w:spacing w:after="0" w:line="240" w:lineRule="auto"/>
              <w:rPr>
                <w:rFonts w:ascii="Calibri" w:eastAsia="Times New Roman" w:hAnsi="Calibri" w:cs="Calibri"/>
                <w:color w:val="000000"/>
                <w:lang w:eastAsia="hr-HR"/>
              </w:rPr>
            </w:pPr>
          </w:p>
        </w:tc>
        <w:tc>
          <w:tcPr>
            <w:tcW w:w="454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76E84" w:rsidRPr="00441632" w:rsidRDefault="00076E84" w:rsidP="00CF6359">
            <w:pPr>
              <w:spacing w:after="0" w:line="240" w:lineRule="auto"/>
              <w:rPr>
                <w:rFonts w:ascii="Calibri" w:eastAsia="Times New Roman" w:hAnsi="Calibri" w:cs="Calibri"/>
                <w:color w:val="000000"/>
                <w:lang w:eastAsia="hr-HR"/>
              </w:rPr>
            </w:pPr>
          </w:p>
        </w:tc>
        <w:tc>
          <w:tcPr>
            <w:tcW w:w="1045" w:type="dxa"/>
            <w:tcBorders>
              <w:top w:val="nil"/>
              <w:left w:val="nil"/>
              <w:bottom w:val="single" w:sz="4" w:space="0" w:color="auto"/>
              <w:right w:val="single" w:sz="4" w:space="0" w:color="auto"/>
            </w:tcBorders>
            <w:shd w:val="clear" w:color="auto" w:fill="DEEAF6" w:themeFill="accent1" w:themeFillTint="33"/>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DTM</w:t>
            </w:r>
          </w:p>
        </w:tc>
        <w:tc>
          <w:tcPr>
            <w:tcW w:w="1075" w:type="dxa"/>
            <w:tcBorders>
              <w:top w:val="nil"/>
              <w:left w:val="nil"/>
              <w:bottom w:val="single" w:sz="4" w:space="0" w:color="auto"/>
              <w:right w:val="single" w:sz="4" w:space="0" w:color="auto"/>
            </w:tcBorders>
            <w:shd w:val="clear" w:color="auto" w:fill="DEEAF6" w:themeFill="accent1" w:themeFillTint="33"/>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Trajanje</w:t>
            </w:r>
          </w:p>
        </w:tc>
        <w:tc>
          <w:tcPr>
            <w:tcW w:w="1900" w:type="dxa"/>
            <w:tcBorders>
              <w:top w:val="nil"/>
              <w:left w:val="nil"/>
              <w:bottom w:val="single" w:sz="4" w:space="0" w:color="auto"/>
              <w:right w:val="single" w:sz="4" w:space="0" w:color="auto"/>
            </w:tcBorders>
            <w:shd w:val="clear" w:color="auto" w:fill="DEEAF6" w:themeFill="accent1" w:themeFillTint="33"/>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KN</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ŠALATA, GRŠKOVIĆEVA 39</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11.05.05.</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TRAJNO</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7.353</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CIGLENICA, SELSKA CESTA 44 I 46</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10.12.18.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137.164</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LIPNICA, Lipnička cesta 36, Brez.</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01.06.18.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54.000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K.Kraljevec, II. Matički 27, BREZ</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10.12.18.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72.000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KOZARI BOK, KOZARI PUT 3 ODV.2</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12.09.18.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105.000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6</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MIMARA, VODNIKOVA 15</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31.03.16.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83.681</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GORNJI GRAD, OPATIČKA 16</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31.03.15.</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351.834</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8</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ANDRIJA MEDULIĆ, MEDULIĆEVA 30</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07.11.16.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112.129</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9</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MO HAVIDIĆI, KUTI 1</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03.09.18.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63.000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10</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IV Maksimirsko naselje 29</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31.10.18.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5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812.000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11</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UREDSKI PR. AV. DUBROVNIK 15</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28.02.14.</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5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207.937</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12</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ZAGREBAČKI VELESAJAM - RAZVOJNA AG.</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24.10.16.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31.904.941</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13</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"MEDO BRUNDO"</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4.720.425</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14</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"SUNČANA"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6.331.292</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15</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"ŠUMSKA JAGODA"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2010</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8.435.741</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16</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"ŠEGRT HLAPIĆ"</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6.076.008</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17</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REMETINEC</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2009</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8.136.733</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18</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"EN TEN TINI"</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2009</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27.916.128</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19</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JELKOVEC</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2009</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18.774.122</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20</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"ŠEGRT HLAPIĆ"</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2010</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14.383.798</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21</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SESVETSKA SOPNICA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9.022.806</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22</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ŠPANSKO ORANICE</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14.144.389</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23</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SESVETSKA SELA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17.911.643</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24</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I DV VRBANI</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2013</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73.684.585</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25</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SŠ JELKOVEC</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2009</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294.945.330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26</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IVER, DVORANA I BAZEN</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2010</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 </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101.985.209</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27</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HRVATSKI LESKOVAC - ZGH</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2018</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13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93.174.691</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28</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OŠ A. STEPINCA</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2017</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25.615.876</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29</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POSL.PROST.ZA OŠ JELKOVEC</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7</w:t>
            </w:r>
            <w:r>
              <w:rPr>
                <w:rFonts w:ascii="Calibri" w:eastAsia="Times New Roman" w:hAnsi="Calibri" w:cs="Calibri"/>
                <w:color w:val="000000"/>
                <w:lang w:eastAsia="hr-HR"/>
              </w:rPr>
              <w:t>,5</w:t>
            </w:r>
            <w:r w:rsidRPr="00441632">
              <w:rPr>
                <w:rFonts w:ascii="Calibri" w:eastAsia="Times New Roman" w:hAnsi="Calibri" w:cs="Calibri"/>
                <w:color w:val="000000"/>
                <w:lang w:eastAsia="hr-HR"/>
              </w:rPr>
              <w:t xml:space="preserve"> g. </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3.816.252</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30</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GLAZBENA ŠKOLA Z.GRGOŠEVIĆA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2013</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15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4.104.000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31</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CENTAR GOLJAK</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9.900.000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32</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JARUN (BAJKA)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2017</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19.716.702</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33</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MARKUŠEVEC</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2012</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15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27.993.355</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lastRenderedPageBreak/>
              <w:t>34</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TRATINČICA</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2016</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14.993.333</w:t>
            </w:r>
          </w:p>
        </w:tc>
      </w:tr>
      <w:tr w:rsidR="00076E84" w:rsidRPr="00441632" w:rsidTr="00CF6359">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35</w:t>
            </w:r>
          </w:p>
        </w:tc>
        <w:tc>
          <w:tcPr>
            <w:tcW w:w="4541"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V.NAZOR</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2018</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7.006.432</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36</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DV T. MARINIĆ</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4.320.000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37</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KNJIŽNICA NOVI JELKOVEC</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2012</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15.022.785</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38</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BAZENI SVETICE</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2016</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7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188.245.250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39</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BRIMUS D.O.O.</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21.02.14.</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5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717.067</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40</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ZG. ARENA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18.06.07.</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28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1.026.857.813</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41</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ZG. VELESAJAM-PAVILJON 40</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01.08.17.</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5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3.312.506</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42</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ZG. VELESAJAM-PAVILJON 1</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04.10.17.</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5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1.973.743</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43</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ZG. VELESAJAM-PAVILJON 18</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17.07.17.</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19.761.651</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44</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646F1F" w:rsidRDefault="00076E84" w:rsidP="00CF6359">
            <w:pPr>
              <w:spacing w:after="0" w:line="240" w:lineRule="auto"/>
              <w:rPr>
                <w:rFonts w:ascii="Calibri" w:eastAsia="Times New Roman" w:hAnsi="Calibri" w:cs="Calibri"/>
                <w:color w:val="000000"/>
                <w:lang w:eastAsia="hr-HR"/>
              </w:rPr>
            </w:pPr>
            <w:r w:rsidRPr="00646F1F">
              <w:rPr>
                <w:rFonts w:ascii="Calibri" w:eastAsia="Times New Roman" w:hAnsi="Calibri" w:cs="Calibri"/>
                <w:color w:val="000000"/>
                <w:lang w:eastAsia="hr-HR"/>
              </w:rPr>
              <w:t>NOG. IGRALIŠTE SC LUČKO</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646F1F" w:rsidRDefault="00076E84" w:rsidP="00CF6359">
            <w:pPr>
              <w:spacing w:after="0" w:line="240" w:lineRule="auto"/>
              <w:jc w:val="center"/>
              <w:rPr>
                <w:rFonts w:ascii="Calibri" w:eastAsia="Times New Roman" w:hAnsi="Calibri" w:cs="Calibri"/>
                <w:color w:val="000000"/>
                <w:lang w:eastAsia="hr-HR"/>
              </w:rPr>
            </w:pPr>
            <w:r w:rsidRPr="00646F1F">
              <w:rPr>
                <w:rFonts w:ascii="Calibri" w:eastAsia="Times New Roman" w:hAnsi="Calibri" w:cs="Calibri"/>
                <w:color w:val="000000"/>
                <w:lang w:eastAsia="hr-HR"/>
              </w:rPr>
              <w:t>22.02.18.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10.656.250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45</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646F1F" w:rsidRDefault="00076E84" w:rsidP="00CF6359">
            <w:pPr>
              <w:spacing w:after="0" w:line="240" w:lineRule="auto"/>
              <w:rPr>
                <w:rFonts w:ascii="Calibri" w:eastAsia="Times New Roman" w:hAnsi="Calibri" w:cs="Calibri"/>
                <w:color w:val="000000"/>
                <w:lang w:eastAsia="hr-HR"/>
              </w:rPr>
            </w:pPr>
            <w:r w:rsidRPr="00646F1F">
              <w:rPr>
                <w:rFonts w:ascii="Calibri" w:eastAsia="Times New Roman" w:hAnsi="Calibri" w:cs="Calibri"/>
                <w:color w:val="000000"/>
                <w:lang w:eastAsia="hr-HR"/>
              </w:rPr>
              <w:t>SC LUČKO DVORANA ZA GIMNASTIKU</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646F1F" w:rsidRDefault="00076E84" w:rsidP="00CF6359">
            <w:pPr>
              <w:spacing w:after="0" w:line="240" w:lineRule="auto"/>
              <w:jc w:val="center"/>
              <w:rPr>
                <w:rFonts w:ascii="Calibri" w:eastAsia="Times New Roman" w:hAnsi="Calibri" w:cs="Calibri"/>
                <w:color w:val="000000"/>
                <w:lang w:eastAsia="hr-HR"/>
              </w:rPr>
            </w:pPr>
            <w:r w:rsidRPr="00646F1F">
              <w:rPr>
                <w:rFonts w:ascii="Calibri" w:eastAsia="Times New Roman" w:hAnsi="Calibri" w:cs="Calibri"/>
                <w:color w:val="000000"/>
                <w:lang w:eastAsia="hr-HR"/>
              </w:rPr>
              <w:t>08.05.18.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11.624.875</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46</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ZS NOVI JELKOVEC</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2013</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4.892.300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47</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DZ HITNA POMOĆ</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2009</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47.561.450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48</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SOP. JELKOVEC 1300 STANOVA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15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736.631.460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49</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SOP. JELKOVEC 578 STANOVA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300.729.669</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50</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SOP. JELKOVEC - INFRASTRUKTURA</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107.564.229</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51</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ILICA 28</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 </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TRAJNO</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295.213</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52</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POSL. PR. REMETINEČKI GAJ 14</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20.01.12.</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TRAJNO</w:t>
            </w:r>
          </w:p>
        </w:tc>
        <w:tc>
          <w:tcPr>
            <w:tcW w:w="1900" w:type="dxa"/>
            <w:tcBorders>
              <w:top w:val="nil"/>
              <w:left w:val="nil"/>
              <w:bottom w:val="single" w:sz="4" w:space="0" w:color="auto"/>
              <w:right w:val="single" w:sz="4" w:space="0" w:color="auto"/>
            </w:tcBorders>
            <w:shd w:val="clear" w:color="000000" w:fill="FFFFFF"/>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36.450</w:t>
            </w:r>
          </w:p>
        </w:tc>
      </w:tr>
      <w:tr w:rsidR="00076E84" w:rsidRPr="00441632" w:rsidTr="00CF6359">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53</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MALI DOM</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5.12.08.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12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14.060.157</w:t>
            </w:r>
          </w:p>
        </w:tc>
      </w:tr>
      <w:tr w:rsidR="00076E84" w:rsidRPr="00441632" w:rsidTr="00CF6359">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54</w:t>
            </w:r>
          </w:p>
        </w:tc>
        <w:tc>
          <w:tcPr>
            <w:tcW w:w="4541"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rPr>
                <w:rFonts w:ascii="Calibri" w:eastAsia="Times New Roman" w:hAnsi="Calibri" w:cs="Calibri"/>
                <w:color w:val="000000"/>
                <w:lang w:eastAsia="hr-HR"/>
              </w:rPr>
            </w:pPr>
            <w:r w:rsidRPr="00441632">
              <w:rPr>
                <w:rFonts w:ascii="Calibri" w:eastAsia="Times New Roman" w:hAnsi="Calibri" w:cs="Calibri"/>
                <w:color w:val="000000"/>
                <w:lang w:eastAsia="hr-HR"/>
              </w:rPr>
              <w:t>DOM ZA DJECU I ODRASLE</w:t>
            </w:r>
          </w:p>
        </w:tc>
        <w:tc>
          <w:tcPr>
            <w:tcW w:w="104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31.10.08.</w:t>
            </w:r>
          </w:p>
        </w:tc>
        <w:tc>
          <w:tcPr>
            <w:tcW w:w="1075"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center"/>
              <w:rPr>
                <w:rFonts w:ascii="Calibri" w:eastAsia="Times New Roman" w:hAnsi="Calibri" w:cs="Calibri"/>
                <w:color w:val="000000"/>
                <w:lang w:eastAsia="hr-HR"/>
              </w:rPr>
            </w:pPr>
            <w:r w:rsidRPr="00441632">
              <w:rPr>
                <w:rFonts w:ascii="Calibri" w:eastAsia="Times New Roman" w:hAnsi="Calibri" w:cs="Calibri"/>
                <w:color w:val="000000"/>
                <w:lang w:eastAsia="hr-HR"/>
              </w:rPr>
              <w:t>10 god</w:t>
            </w:r>
          </w:p>
        </w:tc>
        <w:tc>
          <w:tcPr>
            <w:tcW w:w="1900" w:type="dxa"/>
            <w:tcBorders>
              <w:top w:val="nil"/>
              <w:left w:val="nil"/>
              <w:bottom w:val="single" w:sz="4" w:space="0" w:color="auto"/>
              <w:right w:val="single" w:sz="4" w:space="0" w:color="auto"/>
            </w:tcBorders>
            <w:shd w:val="clear" w:color="auto" w:fill="auto"/>
            <w:noWrap/>
            <w:vAlign w:val="bottom"/>
            <w:hideMark/>
          </w:tcPr>
          <w:p w:rsidR="00076E84" w:rsidRPr="00441632" w:rsidRDefault="00076E84" w:rsidP="00CF6359">
            <w:pPr>
              <w:spacing w:after="0" w:line="240" w:lineRule="auto"/>
              <w:jc w:val="right"/>
              <w:rPr>
                <w:rFonts w:ascii="Calibri" w:eastAsia="Times New Roman" w:hAnsi="Calibri" w:cs="Calibri"/>
                <w:color w:val="000000"/>
                <w:lang w:eastAsia="hr-HR"/>
              </w:rPr>
            </w:pPr>
            <w:r w:rsidRPr="00441632">
              <w:rPr>
                <w:rFonts w:ascii="Calibri" w:eastAsia="Times New Roman" w:hAnsi="Calibri" w:cs="Calibri"/>
                <w:color w:val="000000"/>
                <w:lang w:eastAsia="hr-HR"/>
              </w:rPr>
              <w:t>3.221.917</w:t>
            </w:r>
          </w:p>
        </w:tc>
      </w:tr>
      <w:tr w:rsidR="00076E84" w:rsidRPr="009D0CF0" w:rsidTr="00076E84">
        <w:trPr>
          <w:trHeight w:val="290"/>
        </w:trPr>
        <w:tc>
          <w:tcPr>
            <w:tcW w:w="460" w:type="dxa"/>
            <w:tcBorders>
              <w:top w:val="single" w:sz="8" w:space="0" w:color="auto"/>
              <w:left w:val="single" w:sz="8" w:space="0" w:color="auto"/>
              <w:bottom w:val="single" w:sz="8" w:space="0" w:color="auto"/>
              <w:right w:val="nil"/>
            </w:tcBorders>
            <w:shd w:val="clear" w:color="auto" w:fill="DEEAF6" w:themeFill="accent1" w:themeFillTint="33"/>
            <w:noWrap/>
            <w:vAlign w:val="center"/>
            <w:hideMark/>
          </w:tcPr>
          <w:p w:rsidR="00076E84" w:rsidRPr="009D0CF0" w:rsidRDefault="00076E84" w:rsidP="00CF6359">
            <w:pPr>
              <w:spacing w:after="0" w:line="240" w:lineRule="auto"/>
              <w:rPr>
                <w:rFonts w:ascii="Calibri" w:eastAsia="Times New Roman" w:hAnsi="Calibri" w:cs="Calibri"/>
                <w:color w:val="000000"/>
                <w:lang w:eastAsia="hr-HR"/>
              </w:rPr>
            </w:pPr>
            <w:r w:rsidRPr="009D0CF0">
              <w:rPr>
                <w:rFonts w:ascii="Calibri" w:eastAsia="Times New Roman" w:hAnsi="Calibri" w:cs="Calibri"/>
                <w:color w:val="000000"/>
                <w:lang w:eastAsia="hr-HR"/>
              </w:rPr>
              <w:t> </w:t>
            </w:r>
          </w:p>
        </w:tc>
        <w:tc>
          <w:tcPr>
            <w:tcW w:w="4541" w:type="dxa"/>
            <w:tcBorders>
              <w:top w:val="single" w:sz="8" w:space="0" w:color="auto"/>
              <w:left w:val="nil"/>
              <w:bottom w:val="single" w:sz="8" w:space="0" w:color="auto"/>
              <w:right w:val="nil"/>
            </w:tcBorders>
            <w:shd w:val="clear" w:color="auto" w:fill="DEEAF6" w:themeFill="accent1" w:themeFillTint="33"/>
            <w:noWrap/>
            <w:vAlign w:val="center"/>
            <w:hideMark/>
          </w:tcPr>
          <w:p w:rsidR="00076E84" w:rsidRPr="009D0CF0" w:rsidRDefault="00076E84" w:rsidP="00CF6359">
            <w:pPr>
              <w:spacing w:after="0" w:line="240" w:lineRule="auto"/>
              <w:jc w:val="center"/>
              <w:rPr>
                <w:rFonts w:ascii="Calibri" w:eastAsia="Times New Roman" w:hAnsi="Calibri" w:cs="Calibri"/>
                <w:bCs/>
                <w:color w:val="000000"/>
                <w:lang w:eastAsia="hr-HR"/>
              </w:rPr>
            </w:pPr>
            <w:r w:rsidRPr="009D0CF0">
              <w:rPr>
                <w:rFonts w:ascii="Calibri" w:eastAsia="Times New Roman" w:hAnsi="Calibri" w:cs="Calibri"/>
                <w:bCs/>
                <w:color w:val="000000"/>
                <w:lang w:eastAsia="hr-HR"/>
              </w:rPr>
              <w:t xml:space="preserve">UKUPNO </w:t>
            </w:r>
          </w:p>
        </w:tc>
        <w:tc>
          <w:tcPr>
            <w:tcW w:w="1045" w:type="dxa"/>
            <w:tcBorders>
              <w:top w:val="single" w:sz="8" w:space="0" w:color="auto"/>
              <w:left w:val="nil"/>
              <w:bottom w:val="single" w:sz="8" w:space="0" w:color="auto"/>
              <w:right w:val="nil"/>
            </w:tcBorders>
            <w:shd w:val="clear" w:color="auto" w:fill="DEEAF6" w:themeFill="accent1" w:themeFillTint="33"/>
            <w:noWrap/>
            <w:vAlign w:val="center"/>
            <w:hideMark/>
          </w:tcPr>
          <w:p w:rsidR="00076E84" w:rsidRPr="009D0CF0" w:rsidRDefault="00076E84" w:rsidP="00CF6359">
            <w:pPr>
              <w:spacing w:after="0" w:line="240" w:lineRule="auto"/>
              <w:rPr>
                <w:rFonts w:ascii="Calibri" w:eastAsia="Times New Roman" w:hAnsi="Calibri" w:cs="Calibri"/>
                <w:bCs/>
                <w:color w:val="000000"/>
                <w:lang w:eastAsia="hr-HR"/>
              </w:rPr>
            </w:pPr>
            <w:r w:rsidRPr="009D0CF0">
              <w:rPr>
                <w:rFonts w:ascii="Calibri" w:eastAsia="Times New Roman" w:hAnsi="Calibri" w:cs="Calibri"/>
                <w:bCs/>
                <w:color w:val="000000"/>
                <w:lang w:eastAsia="hr-HR"/>
              </w:rPr>
              <w:t> </w:t>
            </w:r>
          </w:p>
        </w:tc>
        <w:tc>
          <w:tcPr>
            <w:tcW w:w="1075" w:type="dxa"/>
            <w:tcBorders>
              <w:top w:val="single" w:sz="8" w:space="0" w:color="auto"/>
              <w:left w:val="nil"/>
              <w:bottom w:val="single" w:sz="8" w:space="0" w:color="auto"/>
              <w:right w:val="nil"/>
            </w:tcBorders>
            <w:shd w:val="clear" w:color="auto" w:fill="DEEAF6" w:themeFill="accent1" w:themeFillTint="33"/>
            <w:noWrap/>
            <w:vAlign w:val="center"/>
            <w:hideMark/>
          </w:tcPr>
          <w:p w:rsidR="00076E84" w:rsidRPr="009D0CF0" w:rsidRDefault="00076E84" w:rsidP="00CF6359">
            <w:pPr>
              <w:spacing w:after="0" w:line="240" w:lineRule="auto"/>
              <w:rPr>
                <w:rFonts w:ascii="Calibri" w:eastAsia="Times New Roman" w:hAnsi="Calibri" w:cs="Calibri"/>
                <w:bCs/>
                <w:color w:val="000000"/>
                <w:lang w:eastAsia="hr-HR"/>
              </w:rPr>
            </w:pPr>
            <w:r w:rsidRPr="009D0CF0">
              <w:rPr>
                <w:rFonts w:ascii="Calibri" w:eastAsia="Times New Roman" w:hAnsi="Calibri" w:cs="Calibri"/>
                <w:bCs/>
                <w:color w:val="000000"/>
                <w:lang w:eastAsia="hr-HR"/>
              </w:rPr>
              <w:t> </w:t>
            </w:r>
          </w:p>
        </w:tc>
        <w:tc>
          <w:tcPr>
            <w:tcW w:w="1900" w:type="dxa"/>
            <w:tcBorders>
              <w:top w:val="single" w:sz="8" w:space="0" w:color="auto"/>
              <w:left w:val="nil"/>
              <w:bottom w:val="single" w:sz="8" w:space="0" w:color="auto"/>
              <w:right w:val="single" w:sz="8" w:space="0" w:color="auto"/>
            </w:tcBorders>
            <w:shd w:val="clear" w:color="auto" w:fill="DEEAF6" w:themeFill="accent1" w:themeFillTint="33"/>
            <w:noWrap/>
            <w:vAlign w:val="center"/>
            <w:hideMark/>
          </w:tcPr>
          <w:p w:rsidR="00076E84" w:rsidRPr="009D0CF0" w:rsidRDefault="00076E84" w:rsidP="00CF6359">
            <w:pPr>
              <w:spacing w:after="0" w:line="240" w:lineRule="auto"/>
              <w:jc w:val="right"/>
              <w:rPr>
                <w:rFonts w:ascii="Calibri" w:eastAsia="Times New Roman" w:hAnsi="Calibri" w:cs="Calibri"/>
                <w:bCs/>
                <w:color w:val="000000"/>
                <w:lang w:eastAsia="hr-HR"/>
              </w:rPr>
            </w:pPr>
            <w:r w:rsidRPr="009D0CF0">
              <w:rPr>
                <w:rFonts w:ascii="Calibri" w:eastAsia="Times New Roman" w:hAnsi="Calibri" w:cs="Calibri"/>
                <w:bCs/>
                <w:color w:val="000000"/>
                <w:lang w:eastAsia="hr-HR"/>
              </w:rPr>
              <w:t>3.344.184.674</w:t>
            </w:r>
          </w:p>
        </w:tc>
      </w:tr>
    </w:tbl>
    <w:p w:rsidR="00076E84" w:rsidRPr="009D0CF0" w:rsidRDefault="00076E84" w:rsidP="00076E84">
      <w:pPr>
        <w:spacing w:after="120"/>
        <w:jc w:val="both"/>
        <w:rPr>
          <w:rFonts w:eastAsia="Times New Roman" w:cstheme="minorHAnsi"/>
          <w:lang w:eastAsia="hr-HR"/>
        </w:rPr>
      </w:pPr>
    </w:p>
    <w:p w:rsidR="00076E84" w:rsidRDefault="00076E84" w:rsidP="00076E84">
      <w:pPr>
        <w:spacing w:after="120"/>
        <w:ind w:firstLine="708"/>
        <w:jc w:val="both"/>
        <w:rPr>
          <w:rFonts w:eastAsia="Times New Roman" w:cstheme="minorHAnsi"/>
          <w:lang w:eastAsia="hr-HR"/>
        </w:rPr>
      </w:pPr>
      <w:r>
        <w:rPr>
          <w:rFonts w:eastAsia="Times New Roman" w:cstheme="minorHAnsi"/>
          <w:lang w:eastAsia="hr-HR"/>
        </w:rPr>
        <w:t>I.2.</w:t>
      </w:r>
      <w:r>
        <w:rPr>
          <w:rFonts w:eastAsia="Times New Roman" w:cstheme="minorHAnsi"/>
          <w:lang w:eastAsia="hr-HR"/>
        </w:rPr>
        <w:tab/>
        <w:t xml:space="preserve">DANE SUGLASNOSTI </w:t>
      </w:r>
    </w:p>
    <w:p w:rsidR="00076E84" w:rsidRPr="003E65D1" w:rsidRDefault="00076E84" w:rsidP="00076E84">
      <w:pPr>
        <w:spacing w:after="0"/>
        <w:jc w:val="both"/>
        <w:rPr>
          <w:rFonts w:eastAsia="Times New Roman" w:cstheme="minorHAnsi"/>
          <w:lang w:eastAsia="hr-HR"/>
        </w:rPr>
      </w:pPr>
      <w:r w:rsidRPr="003E65D1">
        <w:rPr>
          <w:rFonts w:eastAsia="Times New Roman" w:cstheme="minorHAnsi"/>
          <w:lang w:eastAsia="hr-HR"/>
        </w:rPr>
        <w:t>U 2018. godini Grad Zagreb je izdao suglasnost</w:t>
      </w:r>
      <w:r>
        <w:rPr>
          <w:rFonts w:eastAsia="Times New Roman" w:cstheme="minorHAnsi"/>
          <w:lang w:eastAsia="hr-HR"/>
        </w:rPr>
        <w:t>i</w:t>
      </w:r>
      <w:r w:rsidRPr="003E65D1">
        <w:rPr>
          <w:rFonts w:eastAsia="Times New Roman" w:cstheme="minorHAnsi"/>
          <w:lang w:eastAsia="hr-HR"/>
        </w:rPr>
        <w:t xml:space="preserve"> trgovačkom društvu Zagrebački holding d.o.o. na dugoročno zaduživanje ugovaranjem kredita za financiranje investicijskog ciklusa u ukupnom iznosu od 125.000.000,00 kuna.</w:t>
      </w:r>
      <w:r>
        <w:rPr>
          <w:rFonts w:eastAsia="Times New Roman" w:cstheme="minorHAnsi"/>
          <w:lang w:eastAsia="hr-HR"/>
        </w:rPr>
        <w:t xml:space="preserve"> Iskorišteni iznosi kredita iznose 2.381.509.369 kuna, otplaćeno je 1.344.447.181 kuna, te je stanje obveza po danim suglasnostima na dan 31.12.2018. iznosi 1.037.062.188 kuna. </w:t>
      </w:r>
    </w:p>
    <w:p w:rsidR="00076E84" w:rsidRDefault="00076E84" w:rsidP="00076E84">
      <w:pPr>
        <w:spacing w:after="0" w:line="240" w:lineRule="auto"/>
        <w:jc w:val="both"/>
        <w:rPr>
          <w:rFonts w:eastAsia="Times New Roman" w:cstheme="minorHAnsi"/>
          <w:lang w:eastAsia="hr-HR"/>
        </w:rPr>
      </w:pPr>
    </w:p>
    <w:p w:rsidR="00076E84" w:rsidRDefault="00076E84" w:rsidP="00076E84">
      <w:pPr>
        <w:spacing w:after="0" w:line="240" w:lineRule="auto"/>
        <w:jc w:val="both"/>
        <w:rPr>
          <w:rFonts w:eastAsia="Times New Roman" w:cstheme="minorHAnsi"/>
          <w:lang w:eastAsia="hr-HR"/>
        </w:rPr>
      </w:pPr>
      <w:r>
        <w:rPr>
          <w:rFonts w:eastAsia="Times New Roman" w:cstheme="minorHAnsi"/>
          <w:lang w:eastAsia="hr-HR"/>
        </w:rPr>
        <w:t>Pregled stanja izdanih suglasnosti na dan 31.12.2018.:</w:t>
      </w:r>
    </w:p>
    <w:p w:rsidR="00076E84" w:rsidRDefault="00076E84" w:rsidP="00076E84">
      <w:pPr>
        <w:spacing w:after="0" w:line="240" w:lineRule="auto"/>
        <w:jc w:val="both"/>
        <w:rPr>
          <w:rFonts w:eastAsia="Times New Roman" w:cstheme="minorHAnsi"/>
          <w:lang w:eastAsia="hr-HR"/>
        </w:rPr>
      </w:pPr>
    </w:p>
    <w:tbl>
      <w:tblPr>
        <w:tblW w:w="7520" w:type="dxa"/>
        <w:jc w:val="center"/>
        <w:tblLook w:val="04A0" w:firstRow="1" w:lastRow="0" w:firstColumn="1" w:lastColumn="0" w:noHBand="0" w:noVBand="1"/>
      </w:tblPr>
      <w:tblGrid>
        <w:gridCol w:w="520"/>
        <w:gridCol w:w="4940"/>
        <w:gridCol w:w="2060"/>
      </w:tblGrid>
      <w:tr w:rsidR="00076E84" w:rsidRPr="00F74961" w:rsidTr="003A3A4E">
        <w:trPr>
          <w:trHeight w:val="305"/>
          <w:jc w:val="center"/>
        </w:trPr>
        <w:tc>
          <w:tcPr>
            <w:tcW w:w="5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RB</w:t>
            </w:r>
          </w:p>
        </w:tc>
        <w:tc>
          <w:tcPr>
            <w:tcW w:w="49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KORISNIK</w:t>
            </w:r>
          </w:p>
        </w:tc>
        <w:tc>
          <w:tcPr>
            <w:tcW w:w="20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STANJE 31.12.18.</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1</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podružnica  Zagrebparking</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27.581.528</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2</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podružnica Upravljanje projektima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330.000.000</w:t>
            </w:r>
          </w:p>
        </w:tc>
      </w:tr>
      <w:tr w:rsidR="00076E84" w:rsidRPr="00F74961" w:rsidTr="00CF6359">
        <w:trPr>
          <w:trHeight w:val="48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t>3</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VODOOPSKRBA I ODVODNJA d.o.o.</w:t>
            </w:r>
          </w:p>
        </w:tc>
        <w:tc>
          <w:tcPr>
            <w:tcW w:w="2060" w:type="dxa"/>
            <w:tcBorders>
              <w:top w:val="single" w:sz="4" w:space="0" w:color="auto"/>
              <w:left w:val="nil"/>
              <w:bottom w:val="single" w:sz="4" w:space="0" w:color="auto"/>
              <w:right w:val="single" w:sz="4" w:space="0" w:color="auto"/>
            </w:tcBorders>
            <w:shd w:val="clear" w:color="000000" w:fill="FFFFFF"/>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41.380.660</w:t>
            </w:r>
          </w:p>
        </w:tc>
      </w:tr>
      <w:tr w:rsidR="00076E84" w:rsidRPr="00F74961" w:rsidTr="00CF6359">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t>4</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reprogram kratkoročnih obveza</w:t>
            </w:r>
          </w:p>
        </w:tc>
        <w:tc>
          <w:tcPr>
            <w:tcW w:w="2060" w:type="dxa"/>
            <w:tcBorders>
              <w:top w:val="single" w:sz="4" w:space="0" w:color="auto"/>
              <w:left w:val="nil"/>
              <w:bottom w:val="single" w:sz="4" w:space="0" w:color="auto"/>
              <w:right w:val="single" w:sz="4" w:space="0" w:color="auto"/>
            </w:tcBorders>
            <w:shd w:val="clear" w:color="000000" w:fill="FFFFFF"/>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18.666.66</w:t>
            </w:r>
            <w:r>
              <w:rPr>
                <w:rFonts w:ascii="Calibri" w:eastAsia="Times New Roman" w:hAnsi="Calibri" w:cs="Calibri"/>
                <w:bCs/>
                <w:color w:val="000000"/>
                <w:lang w:eastAsia="hr-HR"/>
              </w:rPr>
              <w:t>7</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t>5</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reprogram kratkoročnih obveza</w:t>
            </w:r>
          </w:p>
        </w:tc>
        <w:tc>
          <w:tcPr>
            <w:tcW w:w="2060" w:type="dxa"/>
            <w:tcBorders>
              <w:top w:val="nil"/>
              <w:left w:val="nil"/>
              <w:bottom w:val="single" w:sz="4" w:space="0" w:color="auto"/>
              <w:right w:val="single" w:sz="4" w:space="0" w:color="auto"/>
            </w:tcBorders>
            <w:shd w:val="clear" w:color="000000" w:fill="FFFFFF"/>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20.266.667</w:t>
            </w:r>
          </w:p>
        </w:tc>
      </w:tr>
      <w:tr w:rsidR="00076E84" w:rsidRPr="00F74961" w:rsidTr="00CF6359">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t>6</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reprogram kratkoročnih obveza</w:t>
            </w:r>
          </w:p>
        </w:tc>
        <w:tc>
          <w:tcPr>
            <w:tcW w:w="2060" w:type="dxa"/>
            <w:tcBorders>
              <w:top w:val="single" w:sz="4" w:space="0" w:color="auto"/>
              <w:left w:val="nil"/>
              <w:bottom w:val="single" w:sz="4" w:space="0" w:color="auto"/>
              <w:right w:val="single" w:sz="4" w:space="0" w:color="auto"/>
            </w:tcBorders>
            <w:shd w:val="clear" w:color="000000" w:fill="FFFFFF"/>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13.333.333</w:t>
            </w:r>
          </w:p>
        </w:tc>
      </w:tr>
      <w:tr w:rsidR="00076E84" w:rsidRPr="00F74961" w:rsidTr="00CF6359">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lastRenderedPageBreak/>
              <w:t>7</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Refinanciranje revolving kredita</w:t>
            </w:r>
          </w:p>
        </w:tc>
        <w:tc>
          <w:tcPr>
            <w:tcW w:w="2060" w:type="dxa"/>
            <w:tcBorders>
              <w:top w:val="single" w:sz="4" w:space="0" w:color="auto"/>
              <w:left w:val="nil"/>
              <w:bottom w:val="single" w:sz="4" w:space="0" w:color="auto"/>
              <w:right w:val="single" w:sz="4" w:space="0" w:color="auto"/>
            </w:tcBorders>
            <w:shd w:val="clear" w:color="000000" w:fill="FFFFFF"/>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45.000.000</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t>8</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Refinanciranje revolving kredita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55.000.000</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Pr>
                <w:rFonts w:ascii="Calibri" w:eastAsia="Times New Roman" w:hAnsi="Calibri" w:cs="Calibri"/>
                <w:bCs/>
                <w:lang w:eastAsia="hr-HR"/>
              </w:rPr>
              <w:t>9</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Refinanciranje revolving kredita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150.000.000</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1</w:t>
            </w:r>
            <w:r>
              <w:rPr>
                <w:rFonts w:ascii="Calibri" w:eastAsia="Times New Roman" w:hAnsi="Calibri" w:cs="Calibri"/>
                <w:bCs/>
                <w:lang w:eastAsia="hr-HR"/>
              </w:rPr>
              <w:t>0</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Projekt Podbrežje       - 1. faza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210.833.333</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1</w:t>
            </w:r>
            <w:r>
              <w:rPr>
                <w:rFonts w:ascii="Calibri" w:eastAsia="Times New Roman" w:hAnsi="Calibri" w:cs="Calibri"/>
                <w:bCs/>
                <w:lang w:eastAsia="hr-HR"/>
              </w:rPr>
              <w:t>1</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KentBank d.d - financiranje investicijskog ciklusa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50.000.000</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1</w:t>
            </w:r>
            <w:r>
              <w:rPr>
                <w:rFonts w:ascii="Calibri" w:eastAsia="Times New Roman" w:hAnsi="Calibri" w:cs="Calibri"/>
                <w:bCs/>
                <w:lang w:eastAsia="hr-HR"/>
              </w:rPr>
              <w:t>2</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Imex Banka d.d - financiranje investicijskog ciklusa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25.000.000</w:t>
            </w:r>
          </w:p>
        </w:tc>
      </w:tr>
      <w:tr w:rsidR="00076E84" w:rsidRPr="00F74961" w:rsidTr="00CF6359">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1</w:t>
            </w:r>
            <w:r>
              <w:rPr>
                <w:rFonts w:ascii="Calibri" w:eastAsia="Times New Roman" w:hAnsi="Calibri" w:cs="Calibri"/>
                <w:bCs/>
                <w:lang w:eastAsia="hr-HR"/>
              </w:rPr>
              <w:t>3</w:t>
            </w:r>
          </w:p>
        </w:tc>
        <w:tc>
          <w:tcPr>
            <w:tcW w:w="4940" w:type="dxa"/>
            <w:tcBorders>
              <w:top w:val="nil"/>
              <w:left w:val="nil"/>
              <w:bottom w:val="single" w:sz="4" w:space="0" w:color="auto"/>
              <w:right w:val="single" w:sz="4" w:space="0" w:color="auto"/>
            </w:tcBorders>
            <w:shd w:val="clear" w:color="auto" w:fill="auto"/>
            <w:vAlign w:val="center"/>
            <w:hideMark/>
          </w:tcPr>
          <w:p w:rsidR="00076E84" w:rsidRPr="00F74961" w:rsidRDefault="00076E84" w:rsidP="00CF6359">
            <w:pPr>
              <w:spacing w:after="0" w:line="240" w:lineRule="auto"/>
              <w:rPr>
                <w:rFonts w:ascii="Calibri" w:eastAsia="Times New Roman" w:hAnsi="Calibri" w:cs="Calibri"/>
                <w:bCs/>
                <w:lang w:eastAsia="hr-HR"/>
              </w:rPr>
            </w:pPr>
            <w:r w:rsidRPr="00F74961">
              <w:rPr>
                <w:rFonts w:ascii="Calibri" w:eastAsia="Times New Roman" w:hAnsi="Calibri" w:cs="Calibri"/>
                <w:bCs/>
                <w:lang w:eastAsia="hr-HR"/>
              </w:rPr>
              <w:t>ZAGREBAČKI HOLDING d.o.o.  Sberbank d.d - financiranje investicijskog ciklusa</w:t>
            </w:r>
          </w:p>
        </w:tc>
        <w:tc>
          <w:tcPr>
            <w:tcW w:w="2060" w:type="dxa"/>
            <w:tcBorders>
              <w:top w:val="nil"/>
              <w:left w:val="nil"/>
              <w:bottom w:val="single" w:sz="4" w:space="0" w:color="auto"/>
              <w:right w:val="single" w:sz="4" w:space="0" w:color="auto"/>
            </w:tcBorders>
            <w:shd w:val="clear" w:color="auto" w:fill="auto"/>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50.000.000</w:t>
            </w:r>
          </w:p>
        </w:tc>
      </w:tr>
      <w:tr w:rsidR="00076E84" w:rsidRPr="00F74961" w:rsidTr="00076E84">
        <w:trPr>
          <w:trHeight w:val="36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76E84" w:rsidRPr="00F74961" w:rsidRDefault="00076E84" w:rsidP="00CF6359">
            <w:pPr>
              <w:spacing w:after="0" w:line="240" w:lineRule="auto"/>
              <w:jc w:val="center"/>
              <w:rPr>
                <w:rFonts w:ascii="Calibri" w:eastAsia="Times New Roman" w:hAnsi="Calibri" w:cs="Calibri"/>
                <w:bCs/>
                <w:lang w:eastAsia="hr-HR"/>
              </w:rPr>
            </w:pPr>
            <w:r w:rsidRPr="00F74961">
              <w:rPr>
                <w:rFonts w:ascii="Calibri" w:eastAsia="Times New Roman" w:hAnsi="Calibri" w:cs="Calibri"/>
                <w:bCs/>
                <w:lang w:eastAsia="hr-HR"/>
              </w:rPr>
              <w:t>UKUPNO</w:t>
            </w:r>
          </w:p>
        </w:tc>
        <w:tc>
          <w:tcPr>
            <w:tcW w:w="2060" w:type="dxa"/>
            <w:tcBorders>
              <w:top w:val="nil"/>
              <w:left w:val="nil"/>
              <w:bottom w:val="single" w:sz="4" w:space="0" w:color="auto"/>
              <w:right w:val="single" w:sz="4" w:space="0" w:color="auto"/>
            </w:tcBorders>
            <w:shd w:val="clear" w:color="auto" w:fill="DEEAF6" w:themeFill="accent1" w:themeFillTint="33"/>
            <w:noWrap/>
            <w:vAlign w:val="center"/>
            <w:hideMark/>
          </w:tcPr>
          <w:p w:rsidR="00076E84" w:rsidRPr="00F74961" w:rsidRDefault="00076E84" w:rsidP="00CF6359">
            <w:pPr>
              <w:spacing w:after="0" w:line="240" w:lineRule="auto"/>
              <w:jc w:val="right"/>
              <w:rPr>
                <w:rFonts w:ascii="Calibri" w:eastAsia="Times New Roman" w:hAnsi="Calibri" w:cs="Calibri"/>
                <w:bCs/>
                <w:color w:val="000000"/>
                <w:lang w:eastAsia="hr-HR"/>
              </w:rPr>
            </w:pPr>
            <w:r w:rsidRPr="00F74961">
              <w:rPr>
                <w:rFonts w:ascii="Calibri" w:eastAsia="Times New Roman" w:hAnsi="Calibri" w:cs="Calibri"/>
                <w:bCs/>
                <w:color w:val="000000"/>
                <w:lang w:eastAsia="hr-HR"/>
              </w:rPr>
              <w:t>1.037.062.18</w:t>
            </w:r>
            <w:r>
              <w:rPr>
                <w:rFonts w:ascii="Calibri" w:eastAsia="Times New Roman" w:hAnsi="Calibri" w:cs="Calibri"/>
                <w:bCs/>
                <w:color w:val="000000"/>
                <w:lang w:eastAsia="hr-HR"/>
              </w:rPr>
              <w:t>8</w:t>
            </w:r>
          </w:p>
        </w:tc>
      </w:tr>
    </w:tbl>
    <w:p w:rsidR="00076E84" w:rsidRDefault="00076E84" w:rsidP="00076E84">
      <w:pPr>
        <w:spacing w:after="0" w:line="240" w:lineRule="auto"/>
        <w:jc w:val="both"/>
        <w:rPr>
          <w:rFonts w:eastAsia="Times New Roman" w:cstheme="minorHAnsi"/>
          <w:lang w:eastAsia="hr-HR"/>
        </w:rPr>
      </w:pPr>
    </w:p>
    <w:p w:rsidR="00076E84" w:rsidRDefault="00076E84" w:rsidP="00076E84">
      <w:pPr>
        <w:spacing w:after="120"/>
        <w:ind w:firstLine="708"/>
        <w:jc w:val="both"/>
        <w:rPr>
          <w:rFonts w:eastAsia="Times New Roman" w:cstheme="minorHAnsi"/>
          <w:lang w:eastAsia="hr-HR"/>
        </w:rPr>
      </w:pPr>
      <w:r>
        <w:rPr>
          <w:rFonts w:eastAsia="Times New Roman" w:cstheme="minorHAnsi"/>
          <w:lang w:eastAsia="hr-HR"/>
        </w:rPr>
        <w:t xml:space="preserve">I.3. </w:t>
      </w:r>
      <w:r>
        <w:rPr>
          <w:rFonts w:eastAsia="Times New Roman" w:cstheme="minorHAnsi"/>
          <w:lang w:eastAsia="hr-HR"/>
        </w:rPr>
        <w:tab/>
        <w:t>DANA JAMSTVA</w:t>
      </w:r>
    </w:p>
    <w:p w:rsidR="00076E84" w:rsidRDefault="00076E84" w:rsidP="00076E84">
      <w:pPr>
        <w:spacing w:after="0" w:line="240" w:lineRule="auto"/>
        <w:jc w:val="both"/>
        <w:rPr>
          <w:rFonts w:eastAsia="Times New Roman" w:cstheme="minorHAnsi"/>
          <w:lang w:eastAsia="hr-HR"/>
        </w:rPr>
      </w:pPr>
      <w:r>
        <w:rPr>
          <w:rFonts w:eastAsia="Times New Roman" w:cstheme="minorHAnsi"/>
          <w:lang w:eastAsia="hr-HR"/>
        </w:rPr>
        <w:t>Povučena sredstva po danim jamstvima iznose 35.630.883 kune, otplaćena 49.208.576 kuna te je stanje danih jamstava manje za 13.577.693 kuna u odnosu na dan 01. siječanj 2018. i iznose 2.369.359.865 kuna.</w:t>
      </w:r>
    </w:p>
    <w:p w:rsidR="00076E84" w:rsidRDefault="00076E84" w:rsidP="00076E84">
      <w:pPr>
        <w:spacing w:after="0" w:line="240" w:lineRule="auto"/>
        <w:jc w:val="both"/>
        <w:rPr>
          <w:rFonts w:eastAsia="Times New Roman" w:cstheme="minorHAnsi"/>
          <w:lang w:eastAsia="hr-HR"/>
        </w:rPr>
      </w:pPr>
    </w:p>
    <w:p w:rsidR="00076E84" w:rsidRDefault="00076E84" w:rsidP="00076E84">
      <w:pPr>
        <w:spacing w:after="0" w:line="240" w:lineRule="auto"/>
        <w:jc w:val="both"/>
        <w:rPr>
          <w:rFonts w:eastAsia="Times New Roman" w:cstheme="minorHAnsi"/>
          <w:lang w:eastAsia="hr-HR"/>
        </w:rPr>
      </w:pPr>
      <w:r>
        <w:rPr>
          <w:rFonts w:eastAsia="Times New Roman" w:cstheme="minorHAnsi"/>
          <w:lang w:eastAsia="hr-HR"/>
        </w:rPr>
        <w:t>Pregled stanja danih jamstava na dan 31.12.2018.:</w:t>
      </w:r>
    </w:p>
    <w:p w:rsidR="00076E84" w:rsidRDefault="00076E84" w:rsidP="00076E84">
      <w:pPr>
        <w:spacing w:after="0" w:line="240" w:lineRule="auto"/>
        <w:jc w:val="both"/>
        <w:rPr>
          <w:rFonts w:eastAsia="Times New Roman" w:cstheme="minorHAnsi"/>
          <w:lang w:eastAsia="hr-HR"/>
        </w:rPr>
      </w:pPr>
    </w:p>
    <w:tbl>
      <w:tblPr>
        <w:tblW w:w="7201" w:type="dxa"/>
        <w:jc w:val="center"/>
        <w:tblLook w:val="04A0" w:firstRow="1" w:lastRow="0" w:firstColumn="1" w:lastColumn="0" w:noHBand="0" w:noVBand="1"/>
      </w:tblPr>
      <w:tblGrid>
        <w:gridCol w:w="540"/>
        <w:gridCol w:w="3708"/>
        <w:gridCol w:w="1995"/>
        <w:gridCol w:w="2080"/>
      </w:tblGrid>
      <w:tr w:rsidR="00076E84" w:rsidRPr="00646F1F" w:rsidTr="003A3A4E">
        <w:trPr>
          <w:trHeight w:val="319"/>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RB</w:t>
            </w:r>
          </w:p>
        </w:tc>
        <w:tc>
          <w:tcPr>
            <w:tcW w:w="3708"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KORISNIK</w:t>
            </w:r>
          </w:p>
        </w:tc>
        <w:tc>
          <w:tcPr>
            <w:tcW w:w="1852"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BANKA</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STANJE 31.12.2018.</w:t>
            </w:r>
          </w:p>
        </w:tc>
      </w:tr>
      <w:tr w:rsidR="00076E84" w:rsidRPr="00646F1F" w:rsidTr="003A3A4E">
        <w:trPr>
          <w:trHeight w:val="450"/>
          <w:jc w:val="center"/>
        </w:trPr>
        <w:tc>
          <w:tcPr>
            <w:tcW w:w="540"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76E84" w:rsidRPr="00646F1F" w:rsidRDefault="00076E84" w:rsidP="00CF6359">
            <w:pPr>
              <w:spacing w:after="0" w:line="240" w:lineRule="auto"/>
              <w:rPr>
                <w:rFonts w:ascii="Calibri" w:eastAsia="Times New Roman" w:hAnsi="Calibri" w:cs="Calibri"/>
                <w:lang w:eastAsia="hr-HR"/>
              </w:rPr>
            </w:pPr>
          </w:p>
        </w:tc>
        <w:tc>
          <w:tcPr>
            <w:tcW w:w="3708"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76E84" w:rsidRPr="00646F1F" w:rsidRDefault="00076E84" w:rsidP="00CF6359">
            <w:pPr>
              <w:spacing w:after="0" w:line="240" w:lineRule="auto"/>
              <w:rPr>
                <w:rFonts w:ascii="Calibri" w:eastAsia="Times New Roman" w:hAnsi="Calibri" w:cs="Calibri"/>
                <w:lang w:eastAsia="hr-HR"/>
              </w:rPr>
            </w:pPr>
          </w:p>
        </w:tc>
        <w:tc>
          <w:tcPr>
            <w:tcW w:w="1852"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76E84" w:rsidRPr="00646F1F" w:rsidRDefault="00076E84" w:rsidP="00CF6359">
            <w:pPr>
              <w:spacing w:after="0" w:line="240" w:lineRule="auto"/>
              <w:rPr>
                <w:rFonts w:ascii="Calibri" w:eastAsia="Times New Roman" w:hAnsi="Calibri" w:cs="Calibri"/>
                <w:lang w:eastAsia="hr-HR"/>
              </w:rPr>
            </w:pPr>
          </w:p>
        </w:tc>
        <w:tc>
          <w:tcPr>
            <w:tcW w:w="2080"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rsidR="00076E84" w:rsidRPr="00646F1F" w:rsidRDefault="00076E84" w:rsidP="00CF6359">
            <w:pPr>
              <w:spacing w:after="0" w:line="240" w:lineRule="auto"/>
              <w:rPr>
                <w:rFonts w:ascii="Calibri" w:eastAsia="Times New Roman" w:hAnsi="Calibri" w:cs="Calibri"/>
                <w:lang w:eastAsia="hr-HR"/>
              </w:rPr>
            </w:pPr>
          </w:p>
        </w:tc>
      </w:tr>
      <w:tr w:rsidR="00076E84" w:rsidRPr="00646F1F" w:rsidTr="00CF6359">
        <w:trPr>
          <w:trHeight w:val="5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1</w:t>
            </w:r>
          </w:p>
        </w:tc>
        <w:tc>
          <w:tcPr>
            <w:tcW w:w="3708"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ZGH d.o.o.  - podružnica Robni terminali Zagreb</w:t>
            </w:r>
          </w:p>
        </w:tc>
        <w:tc>
          <w:tcPr>
            <w:tcW w:w="1852"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ZABA-KOMMUNALKREDIT AUSTRIA AG</w:t>
            </w:r>
          </w:p>
        </w:tc>
        <w:tc>
          <w:tcPr>
            <w:tcW w:w="2080" w:type="dxa"/>
            <w:tcBorders>
              <w:top w:val="nil"/>
              <w:left w:val="nil"/>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9.962.972</w:t>
            </w:r>
          </w:p>
        </w:tc>
      </w:tr>
      <w:tr w:rsidR="00076E84" w:rsidRPr="00646F1F" w:rsidTr="00CF6359">
        <w:trPr>
          <w:trHeight w:val="28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Pr>
                <w:rFonts w:ascii="Calibri" w:eastAsia="Times New Roman" w:hAnsi="Calibri" w:cs="Calibri"/>
                <w:lang w:eastAsia="hr-HR"/>
              </w:rPr>
              <w:t>2</w:t>
            </w:r>
          </w:p>
        </w:tc>
        <w:tc>
          <w:tcPr>
            <w:tcW w:w="3708"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VODOOPSKRBA I ODVODNJA d.o.o.</w:t>
            </w:r>
          </w:p>
        </w:tc>
        <w:tc>
          <w:tcPr>
            <w:tcW w:w="1852"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HBOR</w:t>
            </w:r>
          </w:p>
        </w:tc>
        <w:tc>
          <w:tcPr>
            <w:tcW w:w="2080" w:type="dxa"/>
            <w:tcBorders>
              <w:top w:val="nil"/>
              <w:left w:val="nil"/>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10.410.033</w:t>
            </w:r>
          </w:p>
        </w:tc>
      </w:tr>
      <w:tr w:rsidR="00076E84" w:rsidRPr="00646F1F" w:rsidTr="00CF6359">
        <w:trPr>
          <w:trHeight w:val="28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Pr>
                <w:rFonts w:ascii="Calibri" w:eastAsia="Times New Roman" w:hAnsi="Calibri" w:cs="Calibri"/>
                <w:lang w:eastAsia="hr-HR"/>
              </w:rPr>
              <w:t>3</w:t>
            </w:r>
          </w:p>
        </w:tc>
        <w:tc>
          <w:tcPr>
            <w:tcW w:w="3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VODOOPSKRBA I ODVODNJA d.o.o.</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PBZ</w:t>
            </w:r>
          </w:p>
        </w:tc>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13.218.801</w:t>
            </w:r>
          </w:p>
        </w:tc>
      </w:tr>
      <w:tr w:rsidR="00076E84" w:rsidRPr="00646F1F" w:rsidTr="00CF6359">
        <w:trPr>
          <w:trHeight w:val="289"/>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Pr>
                <w:rFonts w:ascii="Calibri" w:eastAsia="Times New Roman" w:hAnsi="Calibri" w:cs="Calibri"/>
                <w:lang w:eastAsia="hr-HR"/>
              </w:rPr>
              <w:t>4</w:t>
            </w:r>
          </w:p>
        </w:tc>
        <w:tc>
          <w:tcPr>
            <w:tcW w:w="3708" w:type="dxa"/>
            <w:tcBorders>
              <w:top w:val="single" w:sz="4" w:space="0" w:color="auto"/>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GSKG d.o.o.</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ZABA</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71.218</w:t>
            </w:r>
          </w:p>
        </w:tc>
      </w:tr>
      <w:tr w:rsidR="00076E84" w:rsidRPr="00646F1F" w:rsidTr="00CF6359">
        <w:trPr>
          <w:trHeight w:val="265"/>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Pr>
                <w:rFonts w:ascii="Calibri" w:eastAsia="Times New Roman" w:hAnsi="Calibri" w:cs="Calibri"/>
                <w:lang w:eastAsia="hr-HR"/>
              </w:rPr>
              <w:t>5</w:t>
            </w:r>
          </w:p>
        </w:tc>
        <w:tc>
          <w:tcPr>
            <w:tcW w:w="3708"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ZGH d.o.o.</w:t>
            </w:r>
          </w:p>
        </w:tc>
        <w:tc>
          <w:tcPr>
            <w:tcW w:w="1852"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ZABA-PBZ</w:t>
            </w:r>
          </w:p>
        </w:tc>
        <w:tc>
          <w:tcPr>
            <w:tcW w:w="2080" w:type="dxa"/>
            <w:tcBorders>
              <w:top w:val="nil"/>
              <w:left w:val="nil"/>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2.300.000.000</w:t>
            </w:r>
          </w:p>
        </w:tc>
      </w:tr>
      <w:tr w:rsidR="00076E84" w:rsidRPr="00646F1F" w:rsidTr="00CF6359">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Pr>
                <w:rFonts w:ascii="Calibri" w:eastAsia="Times New Roman" w:hAnsi="Calibri" w:cs="Calibri"/>
                <w:lang w:eastAsia="hr-HR"/>
              </w:rPr>
              <w:t>6</w:t>
            </w:r>
          </w:p>
        </w:tc>
        <w:tc>
          <w:tcPr>
            <w:tcW w:w="3708"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KLINIČKA BOLNICA "SVETI DUH"</w:t>
            </w:r>
          </w:p>
        </w:tc>
        <w:tc>
          <w:tcPr>
            <w:tcW w:w="1852"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PBZ</w:t>
            </w:r>
          </w:p>
        </w:tc>
        <w:tc>
          <w:tcPr>
            <w:tcW w:w="2080" w:type="dxa"/>
            <w:tcBorders>
              <w:top w:val="nil"/>
              <w:left w:val="nil"/>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31.897.91</w:t>
            </w:r>
            <w:r>
              <w:rPr>
                <w:rFonts w:ascii="Calibri" w:eastAsia="Times New Roman" w:hAnsi="Calibri" w:cs="Calibri"/>
                <w:color w:val="000000"/>
                <w:lang w:eastAsia="hr-HR"/>
              </w:rPr>
              <w:t>4</w:t>
            </w:r>
          </w:p>
        </w:tc>
      </w:tr>
      <w:tr w:rsidR="00076E84" w:rsidRPr="00646F1F" w:rsidTr="00CF6359">
        <w:trPr>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Pr>
                <w:rFonts w:ascii="Calibri" w:eastAsia="Times New Roman" w:hAnsi="Calibri" w:cs="Calibri"/>
                <w:lang w:eastAsia="hr-HR"/>
              </w:rPr>
              <w:t>7</w:t>
            </w:r>
          </w:p>
        </w:tc>
        <w:tc>
          <w:tcPr>
            <w:tcW w:w="3708"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rPr>
                <w:rFonts w:ascii="Calibri" w:eastAsia="Times New Roman" w:hAnsi="Calibri" w:cs="Calibri"/>
                <w:lang w:eastAsia="hr-HR"/>
              </w:rPr>
            </w:pPr>
            <w:r w:rsidRPr="00646F1F">
              <w:rPr>
                <w:rFonts w:ascii="Calibri" w:eastAsia="Times New Roman" w:hAnsi="Calibri" w:cs="Calibri"/>
                <w:lang w:eastAsia="hr-HR"/>
              </w:rPr>
              <w:t>ZGH d.o.o.  - podružnica ZET</w:t>
            </w:r>
          </w:p>
        </w:tc>
        <w:tc>
          <w:tcPr>
            <w:tcW w:w="1852" w:type="dxa"/>
            <w:tcBorders>
              <w:top w:val="nil"/>
              <w:left w:val="nil"/>
              <w:bottom w:val="single" w:sz="4" w:space="0" w:color="auto"/>
              <w:right w:val="single" w:sz="4" w:space="0" w:color="auto"/>
            </w:tcBorders>
            <w:shd w:val="clear" w:color="auto" w:fill="auto"/>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ZABA-KOMMUNALKREDIT AUSTRIA AG</w:t>
            </w:r>
          </w:p>
        </w:tc>
        <w:tc>
          <w:tcPr>
            <w:tcW w:w="2080" w:type="dxa"/>
            <w:tcBorders>
              <w:top w:val="nil"/>
              <w:left w:val="nil"/>
              <w:bottom w:val="single" w:sz="4" w:space="0" w:color="auto"/>
              <w:right w:val="single" w:sz="4" w:space="0" w:color="auto"/>
            </w:tcBorders>
            <w:shd w:val="clear" w:color="000000" w:fill="FFFFFF"/>
            <w:noWrap/>
            <w:vAlign w:val="center"/>
            <w:hideMark/>
          </w:tcPr>
          <w:p w:rsidR="00076E84" w:rsidRPr="00646F1F" w:rsidRDefault="00076E84" w:rsidP="00CF6359">
            <w:pPr>
              <w:spacing w:after="0" w:line="240" w:lineRule="auto"/>
              <w:jc w:val="right"/>
              <w:rPr>
                <w:rFonts w:ascii="Calibri" w:eastAsia="Times New Roman" w:hAnsi="Calibri" w:cs="Calibri"/>
                <w:color w:val="000000"/>
                <w:lang w:eastAsia="hr-HR"/>
              </w:rPr>
            </w:pPr>
            <w:r w:rsidRPr="00646F1F">
              <w:rPr>
                <w:rFonts w:ascii="Calibri" w:eastAsia="Times New Roman" w:hAnsi="Calibri" w:cs="Calibri"/>
                <w:color w:val="000000"/>
                <w:lang w:eastAsia="hr-HR"/>
              </w:rPr>
              <w:t>3.798.926</w:t>
            </w:r>
          </w:p>
        </w:tc>
      </w:tr>
      <w:tr w:rsidR="00076E84" w:rsidRPr="00646F1F" w:rsidTr="003A3A4E">
        <w:trPr>
          <w:trHeight w:val="295"/>
          <w:jc w:val="center"/>
        </w:trPr>
        <w:tc>
          <w:tcPr>
            <w:tcW w:w="61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076E84" w:rsidRPr="00646F1F" w:rsidRDefault="00076E84" w:rsidP="00CF6359">
            <w:pPr>
              <w:spacing w:after="0" w:line="240" w:lineRule="auto"/>
              <w:jc w:val="center"/>
              <w:rPr>
                <w:rFonts w:ascii="Calibri" w:eastAsia="Times New Roman" w:hAnsi="Calibri" w:cs="Calibri"/>
                <w:lang w:eastAsia="hr-HR"/>
              </w:rPr>
            </w:pPr>
            <w:r w:rsidRPr="00646F1F">
              <w:rPr>
                <w:rFonts w:ascii="Calibri" w:eastAsia="Times New Roman" w:hAnsi="Calibri" w:cs="Calibri"/>
                <w:lang w:eastAsia="hr-HR"/>
              </w:rPr>
              <w:t xml:space="preserve">UKUPNO </w:t>
            </w:r>
          </w:p>
        </w:tc>
        <w:tc>
          <w:tcPr>
            <w:tcW w:w="2080" w:type="dxa"/>
            <w:tcBorders>
              <w:top w:val="nil"/>
              <w:left w:val="nil"/>
              <w:bottom w:val="single" w:sz="4" w:space="0" w:color="auto"/>
              <w:right w:val="single" w:sz="4" w:space="0" w:color="auto"/>
            </w:tcBorders>
            <w:shd w:val="clear" w:color="auto" w:fill="DEEAF6" w:themeFill="accent1" w:themeFillTint="33"/>
            <w:noWrap/>
            <w:vAlign w:val="center"/>
            <w:hideMark/>
          </w:tcPr>
          <w:p w:rsidR="00076E84" w:rsidRPr="00646F1F" w:rsidRDefault="00076E84" w:rsidP="00CF6359">
            <w:pPr>
              <w:spacing w:after="0" w:line="240" w:lineRule="auto"/>
              <w:jc w:val="right"/>
              <w:rPr>
                <w:rFonts w:ascii="Calibri" w:eastAsia="Times New Roman" w:hAnsi="Calibri" w:cs="Calibri"/>
                <w:b/>
                <w:color w:val="000000"/>
                <w:lang w:eastAsia="hr-HR"/>
              </w:rPr>
            </w:pPr>
            <w:r w:rsidRPr="00646F1F">
              <w:rPr>
                <w:rFonts w:ascii="Calibri" w:eastAsia="Times New Roman" w:hAnsi="Calibri" w:cs="Calibri"/>
                <w:b/>
                <w:color w:val="000000"/>
                <w:lang w:eastAsia="hr-HR"/>
              </w:rPr>
              <w:t>2.369.359.86</w:t>
            </w:r>
            <w:r>
              <w:rPr>
                <w:rFonts w:ascii="Calibri" w:eastAsia="Times New Roman" w:hAnsi="Calibri" w:cs="Calibri"/>
                <w:b/>
                <w:color w:val="000000"/>
                <w:lang w:eastAsia="hr-HR"/>
              </w:rPr>
              <w:t>4</w:t>
            </w:r>
          </w:p>
        </w:tc>
      </w:tr>
    </w:tbl>
    <w:p w:rsidR="00076E84" w:rsidRDefault="00076E84" w:rsidP="00076E84">
      <w:pPr>
        <w:spacing w:after="0" w:line="240" w:lineRule="auto"/>
        <w:jc w:val="both"/>
        <w:rPr>
          <w:rFonts w:eastAsia="Times New Roman" w:cstheme="minorHAnsi"/>
          <w:lang w:eastAsia="hr-HR"/>
        </w:rPr>
      </w:pPr>
    </w:p>
    <w:p w:rsidR="00076E84" w:rsidRDefault="00076E84" w:rsidP="00076E84">
      <w:pPr>
        <w:spacing w:after="120"/>
        <w:ind w:firstLine="708"/>
        <w:jc w:val="both"/>
        <w:rPr>
          <w:rFonts w:eastAsia="Times New Roman" w:cstheme="minorHAnsi"/>
          <w:lang w:eastAsia="hr-HR"/>
        </w:rPr>
      </w:pPr>
      <w:r>
        <w:rPr>
          <w:rFonts w:eastAsia="Times New Roman" w:cstheme="minorHAnsi"/>
          <w:lang w:eastAsia="hr-HR"/>
        </w:rPr>
        <w:t xml:space="preserve">I.4. </w:t>
      </w:r>
      <w:r>
        <w:rPr>
          <w:rFonts w:eastAsia="Times New Roman" w:cstheme="minorHAnsi"/>
          <w:lang w:eastAsia="hr-HR"/>
        </w:rPr>
        <w:tab/>
        <w:t>ZADUŽNICE I GARANCIJE</w:t>
      </w:r>
    </w:p>
    <w:p w:rsidR="00076E84" w:rsidRDefault="00076E84" w:rsidP="00076E84">
      <w:pPr>
        <w:spacing w:after="120"/>
        <w:jc w:val="both"/>
        <w:rPr>
          <w:rFonts w:eastAsia="Times New Roman" w:cstheme="minorHAnsi"/>
          <w:lang w:eastAsia="hr-HR"/>
        </w:rPr>
      </w:pPr>
      <w:r>
        <w:rPr>
          <w:rFonts w:eastAsia="Times New Roman" w:cstheme="minorHAnsi"/>
          <w:lang w:eastAsia="hr-HR"/>
        </w:rPr>
        <w:t xml:space="preserve">Prema evidencijama gradskih upravnih tijela Grada Zagreba primljeni i dani instrumenti osiguranja zadužnice i garancije najvećim dijelom odnose se na osiguranje za uredno ispunjenje ugovora i okvirnih sporazuma, zatim za otklanjanje nedostataka u jamstvenom roku, osiguranje namjenskog trošenja sredstava i sl. </w:t>
      </w:r>
    </w:p>
    <w:p w:rsidR="00076E84" w:rsidRDefault="00076E84" w:rsidP="00076E84">
      <w:pPr>
        <w:spacing w:after="120"/>
        <w:jc w:val="both"/>
        <w:rPr>
          <w:rFonts w:eastAsia="Times New Roman" w:cstheme="minorHAnsi"/>
          <w:lang w:eastAsia="hr-HR"/>
        </w:rPr>
      </w:pPr>
    </w:p>
    <w:tbl>
      <w:tblPr>
        <w:tblW w:w="5500" w:type="dxa"/>
        <w:jc w:val="center"/>
        <w:tblLook w:val="04A0" w:firstRow="1" w:lastRow="0" w:firstColumn="1" w:lastColumn="0" w:noHBand="0" w:noVBand="1"/>
      </w:tblPr>
      <w:tblGrid>
        <w:gridCol w:w="820"/>
        <w:gridCol w:w="1331"/>
        <w:gridCol w:w="1819"/>
        <w:gridCol w:w="1530"/>
      </w:tblGrid>
      <w:tr w:rsidR="00076E84" w:rsidRPr="00882DDF" w:rsidTr="003A3A4E">
        <w:trPr>
          <w:trHeight w:val="328"/>
          <w:jc w:val="center"/>
        </w:trPr>
        <w:tc>
          <w:tcPr>
            <w:tcW w:w="8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76E84" w:rsidRPr="009D0CF0" w:rsidRDefault="00076E84" w:rsidP="00CF6359">
            <w:pPr>
              <w:spacing w:after="0" w:line="240" w:lineRule="auto"/>
              <w:jc w:val="center"/>
              <w:rPr>
                <w:rFonts w:ascii="Calibri" w:eastAsia="Times New Roman" w:hAnsi="Calibri" w:cs="Calibri"/>
                <w:bCs/>
                <w:color w:val="000000"/>
                <w:lang w:eastAsia="hr-HR"/>
              </w:rPr>
            </w:pPr>
            <w:r w:rsidRPr="009D0CF0">
              <w:rPr>
                <w:rFonts w:ascii="Calibri" w:eastAsia="Times New Roman" w:hAnsi="Calibri" w:cs="Calibri"/>
                <w:bCs/>
                <w:color w:val="000000"/>
                <w:lang w:eastAsia="hr-HR"/>
              </w:rPr>
              <w:lastRenderedPageBreak/>
              <w:t>KOM.</w:t>
            </w:r>
          </w:p>
        </w:tc>
        <w:tc>
          <w:tcPr>
            <w:tcW w:w="4680"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076E84" w:rsidRPr="009D0CF0" w:rsidRDefault="00076E84" w:rsidP="00CF6359">
            <w:pPr>
              <w:spacing w:after="0" w:line="240" w:lineRule="auto"/>
              <w:jc w:val="center"/>
              <w:rPr>
                <w:rFonts w:ascii="Calibri" w:eastAsia="Times New Roman" w:hAnsi="Calibri" w:cs="Calibri"/>
                <w:bCs/>
                <w:color w:val="000000"/>
                <w:lang w:eastAsia="hr-HR"/>
              </w:rPr>
            </w:pPr>
            <w:r w:rsidRPr="009D0CF0">
              <w:rPr>
                <w:rFonts w:ascii="Calibri" w:eastAsia="Times New Roman" w:hAnsi="Calibri" w:cs="Calibri"/>
                <w:bCs/>
                <w:color w:val="000000"/>
                <w:lang w:eastAsia="hr-HR"/>
              </w:rPr>
              <w:t>VRSTA INSTRUMENTA OSIGURANJA</w:t>
            </w:r>
          </w:p>
        </w:tc>
      </w:tr>
      <w:tr w:rsidR="00076E84" w:rsidRPr="00882DDF" w:rsidTr="00CF6359">
        <w:trPr>
          <w:trHeight w:val="300"/>
          <w:jc w:val="center"/>
        </w:trPr>
        <w:tc>
          <w:tcPr>
            <w:tcW w:w="550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sidRPr="00882DDF">
              <w:rPr>
                <w:rFonts w:ascii="Calibri" w:eastAsia="Times New Roman" w:hAnsi="Calibri" w:cs="Calibri"/>
                <w:color w:val="000000"/>
                <w:lang w:eastAsia="hr-HR"/>
              </w:rPr>
              <w:t>ZADUŽNICE</w:t>
            </w:r>
          </w:p>
        </w:tc>
      </w:tr>
      <w:tr w:rsidR="00076E84" w:rsidRPr="00882DDF" w:rsidTr="00CF6359">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3148</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sidRPr="00882DDF">
              <w:rPr>
                <w:rFonts w:ascii="Calibri" w:eastAsia="Times New Roman" w:hAnsi="Calibri" w:cs="Calibri"/>
                <w:color w:val="000000"/>
                <w:lang w:eastAsia="hr-HR"/>
              </w:rPr>
              <w:t>PRIMLJENE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352.645.244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right"/>
              <w:rPr>
                <w:rFonts w:ascii="Calibri" w:eastAsia="Times New Roman" w:hAnsi="Calibri" w:cs="Calibri"/>
                <w:color w:val="000000"/>
                <w:lang w:eastAsia="hr-HR"/>
              </w:rPr>
            </w:pPr>
            <w:r w:rsidRPr="00882DDF">
              <w:rPr>
                <w:rFonts w:ascii="Calibri" w:eastAsia="Times New Roman" w:hAnsi="Calibri" w:cs="Calibri"/>
                <w:color w:val="000000"/>
                <w:lang w:eastAsia="hr-HR"/>
              </w:rPr>
              <w:t> </w:t>
            </w:r>
          </w:p>
        </w:tc>
      </w:tr>
      <w:tr w:rsidR="00076E84" w:rsidRPr="00882DDF" w:rsidTr="00CF6359">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82</w:t>
            </w:r>
          </w:p>
        </w:tc>
        <w:tc>
          <w:tcPr>
            <w:tcW w:w="1331" w:type="dxa"/>
            <w:tcBorders>
              <w:top w:val="nil"/>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sidRPr="00882DDF">
              <w:rPr>
                <w:rFonts w:ascii="Calibri" w:eastAsia="Times New Roman" w:hAnsi="Calibri" w:cs="Calibri"/>
                <w:color w:val="000000"/>
                <w:lang w:eastAsia="hr-HR"/>
              </w:rPr>
              <w:t>DANE</w:t>
            </w:r>
          </w:p>
        </w:tc>
        <w:tc>
          <w:tcPr>
            <w:tcW w:w="1819" w:type="dxa"/>
            <w:tcBorders>
              <w:top w:val="nil"/>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right"/>
              <w:rPr>
                <w:rFonts w:ascii="Calibri" w:eastAsia="Times New Roman" w:hAnsi="Calibri" w:cs="Calibri"/>
                <w:color w:val="000000"/>
                <w:lang w:eastAsia="hr-HR"/>
              </w:rPr>
            </w:pPr>
            <w:r w:rsidRPr="00882DDF">
              <w:rPr>
                <w:rFonts w:ascii="Calibri" w:eastAsia="Times New Roman" w:hAnsi="Calibri" w:cs="Calibri"/>
                <w:color w:val="000000"/>
                <w:lang w:eastAsia="hr-HR"/>
              </w:rPr>
              <w:t> </w:t>
            </w:r>
          </w:p>
        </w:tc>
        <w:tc>
          <w:tcPr>
            <w:tcW w:w="1530" w:type="dxa"/>
            <w:tcBorders>
              <w:top w:val="nil"/>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157.971.320</w:t>
            </w:r>
          </w:p>
        </w:tc>
      </w:tr>
      <w:tr w:rsidR="00076E84" w:rsidRPr="00882DDF" w:rsidTr="00CF6359">
        <w:trPr>
          <w:trHeight w:val="300"/>
          <w:jc w:val="center"/>
        </w:trPr>
        <w:tc>
          <w:tcPr>
            <w:tcW w:w="550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sidRPr="00882DDF">
              <w:rPr>
                <w:rFonts w:ascii="Calibri" w:eastAsia="Times New Roman" w:hAnsi="Calibri" w:cs="Calibri"/>
                <w:color w:val="000000"/>
                <w:lang w:eastAsia="hr-HR"/>
              </w:rPr>
              <w:t>GARANCIJE</w:t>
            </w:r>
          </w:p>
        </w:tc>
      </w:tr>
      <w:tr w:rsidR="00076E84" w:rsidRPr="00882DDF" w:rsidTr="00CF6359">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378</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sidRPr="00882DDF">
              <w:rPr>
                <w:rFonts w:ascii="Calibri" w:eastAsia="Times New Roman" w:hAnsi="Calibri" w:cs="Calibri"/>
                <w:color w:val="000000"/>
                <w:lang w:eastAsia="hr-HR"/>
              </w:rPr>
              <w:t>PRIMLJENE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103.925.604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6E84" w:rsidRPr="00882DDF" w:rsidRDefault="00076E84" w:rsidP="00CF6359">
            <w:pPr>
              <w:spacing w:after="0" w:line="240" w:lineRule="auto"/>
              <w:jc w:val="center"/>
              <w:rPr>
                <w:rFonts w:ascii="Calibri" w:eastAsia="Times New Roman" w:hAnsi="Calibri" w:cs="Calibri"/>
                <w:color w:val="000000"/>
                <w:lang w:eastAsia="hr-HR"/>
              </w:rPr>
            </w:pPr>
            <w:r w:rsidRPr="00882DDF">
              <w:rPr>
                <w:rFonts w:ascii="Calibri" w:eastAsia="Times New Roman" w:hAnsi="Calibri" w:cs="Calibri"/>
                <w:color w:val="000000"/>
                <w:lang w:eastAsia="hr-HR"/>
              </w:rPr>
              <w:t> </w:t>
            </w:r>
          </w:p>
        </w:tc>
      </w:tr>
    </w:tbl>
    <w:p w:rsidR="00076E84" w:rsidRDefault="00076E84" w:rsidP="00076E84">
      <w:pPr>
        <w:spacing w:after="120"/>
        <w:jc w:val="both"/>
        <w:rPr>
          <w:rFonts w:eastAsia="Times New Roman" w:cstheme="minorHAnsi"/>
          <w:lang w:eastAsia="hr-HR"/>
        </w:rPr>
      </w:pPr>
    </w:p>
    <w:p w:rsidR="00076E84" w:rsidRDefault="00076E84" w:rsidP="00076E84">
      <w:pPr>
        <w:spacing w:after="120"/>
        <w:ind w:firstLine="708"/>
        <w:jc w:val="both"/>
        <w:rPr>
          <w:rFonts w:eastAsia="Times New Roman" w:cstheme="minorHAnsi"/>
          <w:lang w:eastAsia="hr-HR"/>
        </w:rPr>
      </w:pPr>
      <w:r>
        <w:rPr>
          <w:rFonts w:eastAsia="Times New Roman" w:cstheme="minorHAnsi"/>
          <w:lang w:eastAsia="hr-HR"/>
        </w:rPr>
        <w:t>I.5.</w:t>
      </w:r>
      <w:r>
        <w:rPr>
          <w:rFonts w:eastAsia="Times New Roman" w:cstheme="minorHAnsi"/>
          <w:lang w:eastAsia="hr-HR"/>
        </w:rPr>
        <w:tab/>
        <w:t xml:space="preserve"> HIPOTEKE</w:t>
      </w:r>
    </w:p>
    <w:p w:rsidR="00076E84" w:rsidRDefault="00076E84" w:rsidP="00076E84">
      <w:pPr>
        <w:jc w:val="both"/>
        <w:rPr>
          <w:rFonts w:eastAsia="Times New Roman" w:cstheme="minorHAnsi"/>
          <w:lang w:eastAsia="hr-HR"/>
        </w:rPr>
      </w:pPr>
      <w:r>
        <w:rPr>
          <w:rFonts w:eastAsia="Times New Roman" w:cstheme="minorHAnsi"/>
          <w:lang w:eastAsia="hr-HR"/>
        </w:rPr>
        <w:t xml:space="preserve">U izvanbilančnu evidenciju upisano je 14 hipoteka u iznosu od 7.860.498 kuna u korist Grada temeljem kupoprodajnih ugovora za zemljište i poslovne prostore, rješenja Gradskog ureda za poljoprivredu i šumarstvo i rješenja o prenamjeni poljoprivrednog zemljišta u građevinsko. Grad nema ustrojene evidencije iz koje bi se mogli dobiti podaci o svim nekretninama u vlasništvu Grada koje su opterećene hipotekom ili založnim pravom i podaci o zabilježenim hipotekama na imovini trećih osoba u korist Grada, kojima se osigurava namirenje novčanih tražbina iz vrijednosti nekretnina. </w:t>
      </w:r>
    </w:p>
    <w:p w:rsidR="00076E84" w:rsidRDefault="00076E84" w:rsidP="00076E84">
      <w:pPr>
        <w:jc w:val="both"/>
        <w:rPr>
          <w:rFonts w:eastAsia="Times New Roman" w:cstheme="minorHAnsi"/>
          <w:lang w:eastAsia="hr-HR"/>
        </w:rPr>
      </w:pPr>
      <w:r>
        <w:rPr>
          <w:rFonts w:eastAsia="Times New Roman" w:cstheme="minorHAnsi"/>
          <w:lang w:eastAsia="hr-HR"/>
        </w:rPr>
        <w:tab/>
        <w:t>I.6.</w:t>
      </w:r>
      <w:r>
        <w:rPr>
          <w:rFonts w:eastAsia="Times New Roman" w:cstheme="minorHAnsi"/>
          <w:lang w:eastAsia="hr-HR"/>
        </w:rPr>
        <w:tab/>
        <w:t>TUĐA IMOVINA DOBIVENA NA KORIŠTENJE</w:t>
      </w:r>
      <w:r>
        <w:rPr>
          <w:rFonts w:eastAsia="Times New Roman" w:cstheme="minorHAnsi"/>
          <w:lang w:eastAsia="hr-HR"/>
        </w:rPr>
        <w:tab/>
      </w:r>
    </w:p>
    <w:p w:rsidR="00076E84" w:rsidRDefault="00076E84" w:rsidP="00076E84">
      <w:pPr>
        <w:jc w:val="both"/>
        <w:rPr>
          <w:rFonts w:eastAsia="Times New Roman" w:cstheme="minorHAnsi"/>
          <w:lang w:eastAsia="hr-HR"/>
        </w:rPr>
      </w:pPr>
      <w:r>
        <w:rPr>
          <w:rFonts w:eastAsia="Times New Roman" w:cstheme="minorHAnsi"/>
          <w:lang w:eastAsia="hr-HR"/>
        </w:rPr>
        <w:t>Evidentirane su tri nekretnine – dva poslovna prostora i garaža koje koristi mjesna samouprava prema procijeni Ministarstva financija – Porezne uprave, sadašnje vrijednosti 1.798.929 kn.</w:t>
      </w:r>
    </w:p>
    <w:p w:rsidR="00076E84" w:rsidRDefault="00076E84" w:rsidP="00076E84">
      <w:pPr>
        <w:ind w:firstLine="708"/>
        <w:jc w:val="both"/>
        <w:rPr>
          <w:rFonts w:eastAsia="Times New Roman" w:cstheme="minorHAnsi"/>
          <w:lang w:eastAsia="hr-HR"/>
        </w:rPr>
      </w:pPr>
      <w:r>
        <w:rPr>
          <w:rFonts w:eastAsia="Times New Roman" w:cstheme="minorHAnsi"/>
          <w:lang w:eastAsia="hr-HR"/>
        </w:rPr>
        <w:t xml:space="preserve">I.7. </w:t>
      </w:r>
      <w:r>
        <w:rPr>
          <w:rFonts w:eastAsia="Times New Roman" w:cstheme="minorHAnsi"/>
          <w:lang w:eastAsia="hr-HR"/>
        </w:rPr>
        <w:tab/>
        <w:t>OSTALO</w:t>
      </w:r>
    </w:p>
    <w:p w:rsidR="00076E84" w:rsidRPr="00E063D3" w:rsidRDefault="00076E84" w:rsidP="00076E84">
      <w:pPr>
        <w:jc w:val="both"/>
        <w:rPr>
          <w:rFonts w:eastAsia="Times New Roman" w:cstheme="minorHAnsi"/>
          <w:lang w:eastAsia="hr-HR"/>
        </w:rPr>
      </w:pPr>
      <w:r>
        <w:rPr>
          <w:rFonts w:eastAsia="Times New Roman" w:cstheme="minorHAnsi"/>
          <w:lang w:eastAsia="hr-HR"/>
        </w:rPr>
        <w:t xml:space="preserve">U izvanbilančnim zapisima, pored navedenog, evidentirana su potraživanja za komunalnu naknadu, zakupninu, najamninu, spomeničku rentu i sl. za koja se u trenutku nastanka nije mogao utvrditi utjecaj niti na jednu poziciju temeljnih financijskih izvještaja: </w:t>
      </w:r>
    </w:p>
    <w:tbl>
      <w:tblPr>
        <w:tblStyle w:val="TableGrid"/>
        <w:tblW w:w="0" w:type="auto"/>
        <w:jc w:val="center"/>
        <w:tblLook w:val="04A0" w:firstRow="1" w:lastRow="0" w:firstColumn="1" w:lastColumn="0" w:noHBand="0" w:noVBand="1"/>
      </w:tblPr>
      <w:tblGrid>
        <w:gridCol w:w="644"/>
        <w:gridCol w:w="3872"/>
        <w:gridCol w:w="1858"/>
      </w:tblGrid>
      <w:tr w:rsidR="00076E84" w:rsidTr="00CF6359">
        <w:trPr>
          <w:trHeight w:val="488"/>
          <w:jc w:val="center"/>
        </w:trPr>
        <w:tc>
          <w:tcPr>
            <w:tcW w:w="644" w:type="dxa"/>
            <w:tcBorders>
              <w:bottom w:val="single" w:sz="4" w:space="0" w:color="auto"/>
            </w:tcBorders>
            <w:shd w:val="clear" w:color="auto" w:fill="DEEAF6" w:themeFill="accent1" w:themeFillTint="33"/>
            <w:vAlign w:val="center"/>
          </w:tcPr>
          <w:p w:rsidR="00076E84" w:rsidRDefault="00076E84" w:rsidP="00CF6359">
            <w:pPr>
              <w:jc w:val="center"/>
            </w:pPr>
            <w:r>
              <w:t>RB</w:t>
            </w:r>
          </w:p>
        </w:tc>
        <w:tc>
          <w:tcPr>
            <w:tcW w:w="3872" w:type="dxa"/>
            <w:tcBorders>
              <w:bottom w:val="single" w:sz="4" w:space="0" w:color="auto"/>
            </w:tcBorders>
            <w:shd w:val="clear" w:color="auto" w:fill="DEEAF6" w:themeFill="accent1" w:themeFillTint="33"/>
            <w:vAlign w:val="center"/>
          </w:tcPr>
          <w:p w:rsidR="00076E84" w:rsidRDefault="00076E84" w:rsidP="00CF6359">
            <w:pPr>
              <w:jc w:val="center"/>
            </w:pPr>
            <w:r>
              <w:t>NAZIV</w:t>
            </w:r>
          </w:p>
        </w:tc>
        <w:tc>
          <w:tcPr>
            <w:tcW w:w="1858" w:type="dxa"/>
            <w:tcBorders>
              <w:bottom w:val="single" w:sz="4" w:space="0" w:color="auto"/>
            </w:tcBorders>
            <w:shd w:val="clear" w:color="auto" w:fill="DEEAF6" w:themeFill="accent1" w:themeFillTint="33"/>
          </w:tcPr>
          <w:p w:rsidR="00076E84" w:rsidRDefault="00076E84" w:rsidP="00CF6359">
            <w:pPr>
              <w:jc w:val="center"/>
            </w:pPr>
            <w:r w:rsidRPr="00774066">
              <w:t>Stanje 31.12.1</w:t>
            </w:r>
            <w:r>
              <w:t>8</w:t>
            </w:r>
            <w:r w:rsidRPr="00774066">
              <w:t>.</w:t>
            </w:r>
          </w:p>
        </w:tc>
      </w:tr>
      <w:tr w:rsidR="00076E84" w:rsidRPr="00BE576B" w:rsidTr="00CF6359">
        <w:trPr>
          <w:trHeight w:val="112"/>
          <w:jc w:val="center"/>
        </w:trPr>
        <w:tc>
          <w:tcPr>
            <w:tcW w:w="644" w:type="dxa"/>
            <w:shd w:val="clear" w:color="auto" w:fill="DEEAF6" w:themeFill="accent1" w:themeFillTint="33"/>
          </w:tcPr>
          <w:p w:rsidR="00076E84" w:rsidRPr="00BE576B" w:rsidRDefault="00076E84" w:rsidP="00CF6359">
            <w:pPr>
              <w:jc w:val="center"/>
              <w:rPr>
                <w:sz w:val="16"/>
                <w:szCs w:val="16"/>
              </w:rPr>
            </w:pPr>
            <w:r>
              <w:rPr>
                <w:sz w:val="16"/>
                <w:szCs w:val="16"/>
              </w:rPr>
              <w:t>1</w:t>
            </w:r>
          </w:p>
        </w:tc>
        <w:tc>
          <w:tcPr>
            <w:tcW w:w="3872" w:type="dxa"/>
            <w:shd w:val="clear" w:color="auto" w:fill="DEEAF6" w:themeFill="accent1" w:themeFillTint="33"/>
          </w:tcPr>
          <w:p w:rsidR="00076E84" w:rsidRPr="00BE576B" w:rsidRDefault="00076E84" w:rsidP="00CF6359">
            <w:pPr>
              <w:jc w:val="center"/>
              <w:rPr>
                <w:sz w:val="16"/>
                <w:szCs w:val="16"/>
              </w:rPr>
            </w:pPr>
            <w:r w:rsidRPr="00BE576B">
              <w:rPr>
                <w:sz w:val="16"/>
                <w:szCs w:val="16"/>
              </w:rPr>
              <w:t>2</w:t>
            </w:r>
          </w:p>
        </w:tc>
        <w:tc>
          <w:tcPr>
            <w:tcW w:w="1858" w:type="dxa"/>
            <w:shd w:val="clear" w:color="auto" w:fill="DEEAF6" w:themeFill="accent1" w:themeFillTint="33"/>
          </w:tcPr>
          <w:p w:rsidR="00076E84" w:rsidRPr="00BE576B" w:rsidRDefault="00076E84" w:rsidP="00CF6359">
            <w:pPr>
              <w:jc w:val="center"/>
              <w:rPr>
                <w:sz w:val="16"/>
                <w:szCs w:val="16"/>
              </w:rPr>
            </w:pPr>
            <w:r>
              <w:rPr>
                <w:sz w:val="16"/>
                <w:szCs w:val="16"/>
              </w:rPr>
              <w:t>4</w:t>
            </w:r>
          </w:p>
        </w:tc>
      </w:tr>
      <w:tr w:rsidR="00076E84" w:rsidRPr="004D4B30" w:rsidTr="00CF6359">
        <w:trPr>
          <w:jc w:val="center"/>
        </w:trPr>
        <w:tc>
          <w:tcPr>
            <w:tcW w:w="644" w:type="dxa"/>
          </w:tcPr>
          <w:p w:rsidR="00076E84" w:rsidRDefault="00076E84" w:rsidP="00CF6359">
            <w:pPr>
              <w:jc w:val="center"/>
            </w:pPr>
            <w:r>
              <w:t>1.</w:t>
            </w:r>
          </w:p>
        </w:tc>
        <w:tc>
          <w:tcPr>
            <w:tcW w:w="3872" w:type="dxa"/>
          </w:tcPr>
          <w:p w:rsidR="00076E84" w:rsidRPr="004D4B30" w:rsidRDefault="00076E84" w:rsidP="00CF6359">
            <w:r>
              <w:t>Potraživanja za komunalnu naknadu</w:t>
            </w:r>
          </w:p>
        </w:tc>
        <w:tc>
          <w:tcPr>
            <w:tcW w:w="1858" w:type="dxa"/>
          </w:tcPr>
          <w:p w:rsidR="00076E84" w:rsidRDefault="00076E84" w:rsidP="00CF6359">
            <w:pPr>
              <w:jc w:val="right"/>
            </w:pPr>
            <w:r>
              <w:t>767.177.718</w:t>
            </w:r>
          </w:p>
        </w:tc>
      </w:tr>
      <w:tr w:rsidR="00076E84" w:rsidRPr="004D4B30" w:rsidTr="00CF6359">
        <w:trPr>
          <w:jc w:val="center"/>
        </w:trPr>
        <w:tc>
          <w:tcPr>
            <w:tcW w:w="644" w:type="dxa"/>
          </w:tcPr>
          <w:p w:rsidR="00076E84" w:rsidRDefault="00076E84" w:rsidP="00CF6359">
            <w:pPr>
              <w:jc w:val="center"/>
            </w:pPr>
            <w:r>
              <w:t>2.</w:t>
            </w:r>
          </w:p>
        </w:tc>
        <w:tc>
          <w:tcPr>
            <w:tcW w:w="3872" w:type="dxa"/>
          </w:tcPr>
          <w:p w:rsidR="00076E84" w:rsidRPr="004D4B30" w:rsidRDefault="00076E84" w:rsidP="00CF6359">
            <w:r>
              <w:t>Potraživanja za zakupninu</w:t>
            </w:r>
          </w:p>
        </w:tc>
        <w:tc>
          <w:tcPr>
            <w:tcW w:w="1858" w:type="dxa"/>
          </w:tcPr>
          <w:p w:rsidR="00076E84" w:rsidRDefault="00076E84" w:rsidP="00CF6359">
            <w:pPr>
              <w:jc w:val="right"/>
            </w:pPr>
            <w:r>
              <w:t>351.371.231</w:t>
            </w:r>
          </w:p>
        </w:tc>
      </w:tr>
      <w:tr w:rsidR="00076E84" w:rsidRPr="004D4B30" w:rsidTr="00CF6359">
        <w:trPr>
          <w:jc w:val="center"/>
        </w:trPr>
        <w:tc>
          <w:tcPr>
            <w:tcW w:w="644" w:type="dxa"/>
          </w:tcPr>
          <w:p w:rsidR="00076E84" w:rsidRDefault="00076E84" w:rsidP="00CF6359">
            <w:pPr>
              <w:jc w:val="center"/>
            </w:pPr>
            <w:r>
              <w:t>3.</w:t>
            </w:r>
          </w:p>
        </w:tc>
        <w:tc>
          <w:tcPr>
            <w:tcW w:w="3872" w:type="dxa"/>
          </w:tcPr>
          <w:p w:rsidR="00076E84" w:rsidRPr="004D4B30" w:rsidRDefault="00076E84" w:rsidP="00CF6359">
            <w:r>
              <w:t>Potraživanja za najamninu</w:t>
            </w:r>
          </w:p>
        </w:tc>
        <w:tc>
          <w:tcPr>
            <w:tcW w:w="1858" w:type="dxa"/>
          </w:tcPr>
          <w:p w:rsidR="00076E84" w:rsidRDefault="00076E84" w:rsidP="00CF6359">
            <w:pPr>
              <w:jc w:val="right"/>
            </w:pPr>
            <w:r>
              <w:t>10.451.651</w:t>
            </w:r>
          </w:p>
        </w:tc>
      </w:tr>
      <w:tr w:rsidR="00076E84" w:rsidRPr="004D4B30" w:rsidTr="00CF6359">
        <w:trPr>
          <w:jc w:val="center"/>
        </w:trPr>
        <w:tc>
          <w:tcPr>
            <w:tcW w:w="644" w:type="dxa"/>
          </w:tcPr>
          <w:p w:rsidR="00076E84" w:rsidRDefault="00076E84" w:rsidP="00CF6359">
            <w:pPr>
              <w:jc w:val="center"/>
            </w:pPr>
            <w:r>
              <w:t>5.</w:t>
            </w:r>
          </w:p>
        </w:tc>
        <w:tc>
          <w:tcPr>
            <w:tcW w:w="3872" w:type="dxa"/>
          </w:tcPr>
          <w:p w:rsidR="00076E84" w:rsidRPr="004D4B30" w:rsidRDefault="00076E84" w:rsidP="00CF6359">
            <w:r>
              <w:t>Potraživanja za spomeničku rentu</w:t>
            </w:r>
          </w:p>
        </w:tc>
        <w:tc>
          <w:tcPr>
            <w:tcW w:w="1858" w:type="dxa"/>
          </w:tcPr>
          <w:p w:rsidR="00076E84" w:rsidRDefault="00076E84" w:rsidP="00CF6359">
            <w:pPr>
              <w:jc w:val="right"/>
            </w:pPr>
            <w:r>
              <w:t>29.877.035</w:t>
            </w:r>
          </w:p>
        </w:tc>
      </w:tr>
      <w:tr w:rsidR="00076E84" w:rsidRPr="004D4B30" w:rsidTr="00CF6359">
        <w:trPr>
          <w:jc w:val="center"/>
        </w:trPr>
        <w:tc>
          <w:tcPr>
            <w:tcW w:w="644" w:type="dxa"/>
          </w:tcPr>
          <w:p w:rsidR="00076E84" w:rsidRDefault="00076E84" w:rsidP="00CF6359">
            <w:pPr>
              <w:jc w:val="center"/>
            </w:pPr>
            <w:r>
              <w:t>6.</w:t>
            </w:r>
          </w:p>
        </w:tc>
        <w:tc>
          <w:tcPr>
            <w:tcW w:w="3872" w:type="dxa"/>
          </w:tcPr>
          <w:p w:rsidR="00076E84" w:rsidRDefault="00076E84" w:rsidP="00CF6359">
            <w:r>
              <w:t xml:space="preserve">Ostale obveze </w:t>
            </w:r>
          </w:p>
        </w:tc>
        <w:tc>
          <w:tcPr>
            <w:tcW w:w="1858" w:type="dxa"/>
          </w:tcPr>
          <w:p w:rsidR="00076E84" w:rsidRDefault="00076E84" w:rsidP="00CF6359">
            <w:pPr>
              <w:jc w:val="right"/>
            </w:pPr>
            <w:r>
              <w:t>-69.365</w:t>
            </w:r>
          </w:p>
        </w:tc>
      </w:tr>
      <w:tr w:rsidR="00076E84" w:rsidRPr="004D4B30" w:rsidTr="00CF6359">
        <w:trPr>
          <w:jc w:val="center"/>
        </w:trPr>
        <w:tc>
          <w:tcPr>
            <w:tcW w:w="644" w:type="dxa"/>
          </w:tcPr>
          <w:p w:rsidR="00076E84" w:rsidRDefault="00076E84" w:rsidP="00CF6359">
            <w:pPr>
              <w:rPr>
                <w:b/>
              </w:rPr>
            </w:pPr>
          </w:p>
        </w:tc>
        <w:tc>
          <w:tcPr>
            <w:tcW w:w="3872" w:type="dxa"/>
          </w:tcPr>
          <w:p w:rsidR="00076E84" w:rsidRPr="00985FFE" w:rsidRDefault="00076E84" w:rsidP="00CF6359">
            <w:r w:rsidRPr="00985FFE">
              <w:t>UKUPNO</w:t>
            </w:r>
          </w:p>
        </w:tc>
        <w:tc>
          <w:tcPr>
            <w:tcW w:w="1858" w:type="dxa"/>
          </w:tcPr>
          <w:p w:rsidR="00076E84" w:rsidRPr="00985FFE" w:rsidRDefault="00076E84" w:rsidP="00CF6359">
            <w:pPr>
              <w:jc w:val="right"/>
            </w:pPr>
            <w:r w:rsidRPr="00985FFE">
              <w:t>1.158.8</w:t>
            </w:r>
            <w:r>
              <w:t>08</w:t>
            </w:r>
            <w:r w:rsidRPr="00985FFE">
              <w:t>.</w:t>
            </w:r>
            <w:r>
              <w:t>270</w:t>
            </w:r>
          </w:p>
        </w:tc>
      </w:tr>
    </w:tbl>
    <w:p w:rsidR="00076E84" w:rsidRPr="00E063D3" w:rsidRDefault="00076E84" w:rsidP="00076E84">
      <w:pPr>
        <w:spacing w:after="0" w:line="240" w:lineRule="auto"/>
        <w:jc w:val="both"/>
        <w:rPr>
          <w:rFonts w:eastAsia="Times New Roman" w:cstheme="minorHAnsi"/>
          <w:lang w:eastAsia="hr-HR"/>
        </w:rPr>
      </w:pPr>
    </w:p>
    <w:p w:rsidR="00076E84" w:rsidRPr="00DF7BA0" w:rsidRDefault="00076E84" w:rsidP="00076E84">
      <w:pPr>
        <w:pStyle w:val="ListParagraph"/>
        <w:numPr>
          <w:ilvl w:val="0"/>
          <w:numId w:val="10"/>
        </w:numPr>
        <w:spacing w:after="200" w:line="276" w:lineRule="auto"/>
        <w:jc w:val="both"/>
        <w:rPr>
          <w:rFonts w:eastAsia="Times New Roman" w:cstheme="minorHAnsi"/>
          <w:b/>
          <w:lang w:eastAsia="hr-HR"/>
        </w:rPr>
      </w:pPr>
      <w:r w:rsidRPr="00DF7BA0">
        <w:rPr>
          <w:rFonts w:eastAsia="Times New Roman" w:cstheme="minorHAnsi"/>
          <w:b/>
          <w:lang w:eastAsia="hr-HR"/>
        </w:rPr>
        <w:t>POPIS SUDSKIH SPOROVA U TIJEKU</w:t>
      </w:r>
    </w:p>
    <w:p w:rsidR="00076E84" w:rsidRDefault="00076E84" w:rsidP="00076E84">
      <w:pPr>
        <w:jc w:val="both"/>
        <w:rPr>
          <w:rFonts w:eastAsia="Times New Roman" w:cstheme="minorHAnsi"/>
          <w:lang w:eastAsia="hr-HR"/>
        </w:rPr>
      </w:pPr>
      <w:r>
        <w:rPr>
          <w:rFonts w:eastAsia="Times New Roman" w:cstheme="minorHAnsi"/>
          <w:lang w:eastAsia="hr-HR"/>
        </w:rPr>
        <w:tab/>
        <w:t>Pregled sudskih sporova u tijeku koji se vode pred sudovima u kojima je Grad u aktivnoj ili pasivnoj ulozi te vrijednost potencijalnih obveza i potraživanja temeljem vrijednosti predmeta pojedinog spora na dan 31.12.2018.:</w:t>
      </w:r>
    </w:p>
    <w:tbl>
      <w:tblPr>
        <w:tblW w:w="0" w:type="auto"/>
        <w:jc w:val="center"/>
        <w:tblLayout w:type="fixed"/>
        <w:tblCellMar>
          <w:left w:w="30" w:type="dxa"/>
          <w:right w:w="30" w:type="dxa"/>
        </w:tblCellMar>
        <w:tblLook w:val="0000" w:firstRow="0" w:lastRow="0" w:firstColumn="0" w:lastColumn="0" w:noHBand="0" w:noVBand="0"/>
      </w:tblPr>
      <w:tblGrid>
        <w:gridCol w:w="629"/>
        <w:gridCol w:w="4368"/>
        <w:gridCol w:w="854"/>
        <w:gridCol w:w="2112"/>
      </w:tblGrid>
      <w:tr w:rsidR="00076E84" w:rsidTr="003A3A4E">
        <w:trPr>
          <w:trHeight w:val="343"/>
          <w:jc w:val="center"/>
        </w:trPr>
        <w:tc>
          <w:tcPr>
            <w:tcW w:w="62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right"/>
              <w:rPr>
                <w:rFonts w:ascii="Calibri" w:hAnsi="Calibri" w:cs="Calibri"/>
                <w:b/>
                <w:bCs/>
                <w:color w:val="000000"/>
              </w:rPr>
            </w:pPr>
          </w:p>
        </w:tc>
        <w:tc>
          <w:tcPr>
            <w:tcW w:w="436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OPIS - VRSTA SPORA</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Broj</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VRIJEDNOST SPORA</w:t>
            </w:r>
          </w:p>
        </w:tc>
      </w:tr>
      <w:tr w:rsidR="00076E84" w:rsidTr="003A3A4E">
        <w:trPr>
          <w:trHeight w:val="321"/>
          <w:jc w:val="center"/>
        </w:trPr>
        <w:tc>
          <w:tcPr>
            <w:tcW w:w="4997"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GZ U AKTIVNOJ ULOZI </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21.909</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2.169.508.798</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1</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PARNICA</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4.577</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973.236.894</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2</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IZVANPARNIČNI POSTUPAK</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381</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379.294.322</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STEČAJ I LIKVIDACIJA</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523</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330.623.702</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4</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OVRŠNI POSTUPAK</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15.291</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281.689.112</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5</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UPRAVNI POSTUPAK</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996</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107.859.278</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6</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UPRAVNI SPOR</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48</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66.107.569</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7</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PREDSTEČAJ</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92</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30.697.021</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8</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OSTALO</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900</w:t>
            </w:r>
          </w:p>
        </w:tc>
      </w:tr>
      <w:tr w:rsidR="00076E84" w:rsidTr="003A3A4E">
        <w:trPr>
          <w:trHeight w:val="331"/>
          <w:jc w:val="center"/>
        </w:trPr>
        <w:tc>
          <w:tcPr>
            <w:tcW w:w="4997"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GZ U PASIVNOJ ULOZI</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7.378</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076E84" w:rsidRDefault="00076E84" w:rsidP="00CF6359">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14.131.081.442</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1</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PARNICA</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3.369</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13.616.301.997</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2</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IZVANPARNIČNI POSTUPAK</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116</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66.264.121</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STEČAJ I LIKVIDACIJA</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34.894.851</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4</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OVRŠNI POSTUPAK</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1.519</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179.857.560</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5</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UPRAVNI POSTUPAK</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2.016</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102.754.143</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6</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UPRAVNI SPOR</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353</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130.994.169</w:t>
            </w:r>
          </w:p>
        </w:tc>
      </w:tr>
      <w:tr w:rsidR="00076E84" w:rsidTr="00CF6359">
        <w:trPr>
          <w:trHeight w:val="290"/>
          <w:jc w:val="center"/>
        </w:trPr>
        <w:tc>
          <w:tcPr>
            <w:tcW w:w="629"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7</w:t>
            </w:r>
          </w:p>
        </w:tc>
        <w:tc>
          <w:tcPr>
            <w:tcW w:w="4368"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rPr>
                <w:rFonts w:ascii="Calibri" w:hAnsi="Calibri" w:cs="Calibri"/>
                <w:color w:val="000000"/>
              </w:rPr>
            </w:pPr>
            <w:r>
              <w:rPr>
                <w:rFonts w:ascii="Calibri" w:hAnsi="Calibri" w:cs="Calibri"/>
                <w:color w:val="000000"/>
              </w:rPr>
              <w:t>OSTALO</w:t>
            </w:r>
          </w:p>
        </w:tc>
        <w:tc>
          <w:tcPr>
            <w:tcW w:w="854"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c>
          <w:tcPr>
            <w:tcW w:w="2112" w:type="dxa"/>
            <w:tcBorders>
              <w:top w:val="single" w:sz="6" w:space="0" w:color="auto"/>
              <w:left w:val="single" w:sz="6" w:space="0" w:color="auto"/>
              <w:bottom w:val="single" w:sz="6" w:space="0" w:color="auto"/>
              <w:right w:val="single" w:sz="6" w:space="0" w:color="auto"/>
            </w:tcBorders>
          </w:tcPr>
          <w:p w:rsidR="00076E84" w:rsidRDefault="00076E84" w:rsidP="00CF6359">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14.601</w:t>
            </w:r>
          </w:p>
        </w:tc>
      </w:tr>
    </w:tbl>
    <w:p w:rsidR="00076E84" w:rsidRDefault="00076E84" w:rsidP="00076E84">
      <w:pPr>
        <w:spacing w:after="0"/>
        <w:jc w:val="both"/>
        <w:rPr>
          <w:rFonts w:eastAsia="Times New Roman" w:cstheme="minorHAnsi"/>
          <w:lang w:eastAsia="hr-HR"/>
        </w:rPr>
      </w:pPr>
    </w:p>
    <w:p w:rsidR="00076E84" w:rsidRDefault="00076E84" w:rsidP="00076E84">
      <w:pPr>
        <w:spacing w:after="120"/>
        <w:jc w:val="both"/>
        <w:rPr>
          <w:rFonts w:eastAsia="Times New Roman" w:cstheme="minorHAnsi"/>
          <w:lang w:eastAsia="hr-HR"/>
        </w:rPr>
      </w:pPr>
      <w:r>
        <w:rPr>
          <w:rFonts w:eastAsia="Times New Roman" w:cstheme="minorHAnsi"/>
          <w:lang w:eastAsia="hr-HR"/>
        </w:rPr>
        <w:tab/>
        <w:t>Tužba pod poslovnim brojem P-3015/14 protiv I tuženika Grada i II tuženika Zagrebačke otpadne vode d.o.o. za utvrđenje ništavnosti ugovora, s naznačenom vrijednosti predmeta spora u iznosu od 10.766.724.571,36 kuna čini  76,2 % vrijednosti ukupnih sporova na dan 31.12.2018.  odbačena je rješenjem Trgovačkog suda u Zagrebu od 30. siječnja 2018. Povodom izjavljenih žalbi tužitelja i tuženika predmet je otpremljen na Visoki trgovački sud Republike Hrvatske koji do sada nije donio odluku o žalbama, tako da rješenje još nije pravomoćno.</w:t>
      </w:r>
      <w:r>
        <w:rPr>
          <w:rFonts w:eastAsia="Times New Roman" w:cstheme="minorHAnsi"/>
          <w:lang w:eastAsia="hr-HR"/>
        </w:rPr>
        <w:tab/>
      </w:r>
    </w:p>
    <w:p w:rsidR="00076E84" w:rsidRDefault="00076E84" w:rsidP="00076E84">
      <w:pPr>
        <w:autoSpaceDE w:val="0"/>
        <w:autoSpaceDN w:val="0"/>
        <w:adjustRightInd w:val="0"/>
        <w:spacing w:after="0" w:line="240" w:lineRule="auto"/>
        <w:rPr>
          <w:rFonts w:cstheme="minorHAnsi"/>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jc w:val="center"/>
        <w:rPr>
          <w:rFonts w:ascii="Times New Roman" w:hAnsi="Times New Roman" w:cs="Times New Roman"/>
          <w:b/>
        </w:rPr>
      </w:pPr>
    </w:p>
    <w:p w:rsidR="00076E84" w:rsidRDefault="00076E84" w:rsidP="00076E84">
      <w:pPr>
        <w:spacing w:after="0"/>
        <w:rPr>
          <w:rFonts w:cstheme="minorHAnsi"/>
          <w:b/>
        </w:rPr>
      </w:pPr>
    </w:p>
    <w:p w:rsidR="002B4A35" w:rsidRDefault="002B4A35" w:rsidP="002B4A35">
      <w:pPr>
        <w:jc w:val="both"/>
      </w:pPr>
    </w:p>
    <w:p w:rsidR="009F3D0C" w:rsidRDefault="009F3D0C" w:rsidP="001B5FD7">
      <w:pPr>
        <w:jc w:val="both"/>
        <w:rPr>
          <w:sz w:val="28"/>
          <w:szCs w:val="28"/>
        </w:rPr>
      </w:pPr>
    </w:p>
    <w:p w:rsidR="00BC5AC3" w:rsidRPr="00FA5DD5" w:rsidRDefault="00114338" w:rsidP="001B5FD7">
      <w:pPr>
        <w:jc w:val="both"/>
        <w:rPr>
          <w:sz w:val="28"/>
          <w:szCs w:val="28"/>
        </w:rPr>
      </w:pPr>
      <w:r w:rsidRPr="00FA5DD5">
        <w:rPr>
          <w:sz w:val="28"/>
          <w:szCs w:val="28"/>
        </w:rPr>
        <w:t>IZVJEŠTAJ O PRIHODIMA I RASHODIMA</w:t>
      </w:r>
    </w:p>
    <w:p w:rsidR="00114338" w:rsidRPr="00666593" w:rsidRDefault="00114338" w:rsidP="001B5FD7">
      <w:pPr>
        <w:autoSpaceDE w:val="0"/>
        <w:autoSpaceDN w:val="0"/>
        <w:adjustRightInd w:val="0"/>
        <w:spacing w:after="0" w:line="240" w:lineRule="auto"/>
        <w:jc w:val="both"/>
        <w:rPr>
          <w:rFonts w:cstheme="minorHAnsi"/>
        </w:rPr>
      </w:pPr>
      <w:r w:rsidRPr="00666593">
        <w:rPr>
          <w:rFonts w:cstheme="minorHAnsi"/>
          <w:b/>
          <w:bCs/>
        </w:rPr>
        <w:t>Ukupni prihodi i primici (AOP 6</w:t>
      </w:r>
      <w:r w:rsidR="00D9558D" w:rsidRPr="00666593">
        <w:rPr>
          <w:rFonts w:cstheme="minorHAnsi"/>
          <w:b/>
          <w:bCs/>
        </w:rPr>
        <w:t>29</w:t>
      </w:r>
      <w:r w:rsidRPr="00666593">
        <w:rPr>
          <w:rFonts w:cstheme="minorHAnsi"/>
          <w:b/>
          <w:bCs/>
        </w:rPr>
        <w:t xml:space="preserve">) </w:t>
      </w:r>
      <w:r w:rsidRPr="00666593">
        <w:rPr>
          <w:rFonts w:cstheme="minorHAnsi"/>
        </w:rPr>
        <w:t xml:space="preserve">ostvareni su u izvještajnom razdoblju u iznosu od </w:t>
      </w:r>
      <w:r w:rsidR="00534892" w:rsidRPr="00666593">
        <w:rPr>
          <w:rFonts w:cstheme="minorHAnsi"/>
        </w:rPr>
        <w:t>7.846.130.721</w:t>
      </w:r>
    </w:p>
    <w:p w:rsidR="00114338" w:rsidRPr="00666593" w:rsidRDefault="00114338" w:rsidP="001B5FD7">
      <w:pPr>
        <w:autoSpaceDE w:val="0"/>
        <w:autoSpaceDN w:val="0"/>
        <w:adjustRightInd w:val="0"/>
        <w:spacing w:after="0" w:line="240" w:lineRule="auto"/>
        <w:jc w:val="both"/>
        <w:rPr>
          <w:rFonts w:cstheme="minorHAnsi"/>
        </w:rPr>
      </w:pPr>
      <w:r w:rsidRPr="00666593">
        <w:rPr>
          <w:rFonts w:cstheme="minorHAnsi"/>
        </w:rPr>
        <w:t>kn ili 1</w:t>
      </w:r>
      <w:r w:rsidR="00666593" w:rsidRPr="00666593">
        <w:rPr>
          <w:rFonts w:cstheme="minorHAnsi"/>
        </w:rPr>
        <w:t>3</w:t>
      </w:r>
      <w:r w:rsidRPr="00666593">
        <w:rPr>
          <w:rFonts w:cstheme="minorHAnsi"/>
        </w:rPr>
        <w:t xml:space="preserve">% više u odnosu na ostvarenje u prethodnoj godini, apsolutna razlika iznosi </w:t>
      </w:r>
      <w:r w:rsidR="00666593" w:rsidRPr="00666593">
        <w:rPr>
          <w:rFonts w:cstheme="minorHAnsi"/>
        </w:rPr>
        <w:t>905.797.918</w:t>
      </w:r>
      <w:r w:rsidRPr="00666593">
        <w:rPr>
          <w:rFonts w:cstheme="minorHAnsi"/>
        </w:rPr>
        <w:t xml:space="preserve"> kn.</w:t>
      </w:r>
    </w:p>
    <w:p w:rsidR="00114338" w:rsidRPr="00666593" w:rsidRDefault="00114338" w:rsidP="001B5FD7">
      <w:pPr>
        <w:autoSpaceDE w:val="0"/>
        <w:autoSpaceDN w:val="0"/>
        <w:adjustRightInd w:val="0"/>
        <w:spacing w:after="0" w:line="240" w:lineRule="auto"/>
        <w:jc w:val="both"/>
        <w:rPr>
          <w:rFonts w:cstheme="minorHAnsi"/>
        </w:rPr>
      </w:pPr>
      <w:r w:rsidRPr="00666593">
        <w:rPr>
          <w:rFonts w:cstheme="minorHAnsi"/>
          <w:b/>
          <w:bCs/>
        </w:rPr>
        <w:t xml:space="preserve">Ukupni rashodi i izdaci </w:t>
      </w:r>
      <w:r w:rsidRPr="00666593">
        <w:rPr>
          <w:rFonts w:cstheme="minorHAnsi"/>
        </w:rPr>
        <w:t>(AOP 63</w:t>
      </w:r>
      <w:r w:rsidR="00D9558D" w:rsidRPr="00666593">
        <w:rPr>
          <w:rFonts w:cstheme="minorHAnsi"/>
        </w:rPr>
        <w:t>0</w:t>
      </w:r>
      <w:r w:rsidRPr="00666593">
        <w:rPr>
          <w:rFonts w:cstheme="minorHAnsi"/>
        </w:rPr>
        <w:t xml:space="preserve">) ostvareni su u istom razdoblju u iznosu od </w:t>
      </w:r>
      <w:r w:rsidR="00666593" w:rsidRPr="00666593">
        <w:rPr>
          <w:rFonts w:cstheme="minorHAnsi"/>
        </w:rPr>
        <w:t>7.897.065.148</w:t>
      </w:r>
      <w:r w:rsidRPr="00666593">
        <w:rPr>
          <w:rFonts w:cstheme="minorHAnsi"/>
        </w:rPr>
        <w:t xml:space="preserve"> kn. U</w:t>
      </w:r>
    </w:p>
    <w:p w:rsidR="00114338" w:rsidRPr="00666593" w:rsidRDefault="00114338" w:rsidP="001B5FD7">
      <w:pPr>
        <w:autoSpaceDE w:val="0"/>
        <w:autoSpaceDN w:val="0"/>
        <w:adjustRightInd w:val="0"/>
        <w:spacing w:after="0" w:line="240" w:lineRule="auto"/>
        <w:jc w:val="both"/>
        <w:rPr>
          <w:rFonts w:cstheme="minorHAnsi"/>
        </w:rPr>
      </w:pPr>
      <w:r w:rsidRPr="00666593">
        <w:rPr>
          <w:rFonts w:cstheme="minorHAnsi"/>
        </w:rPr>
        <w:t xml:space="preserve">odnosu na ostvarenje u prethodnoj godini </w:t>
      </w:r>
      <w:r w:rsidR="00D9558D" w:rsidRPr="00666593">
        <w:rPr>
          <w:rFonts w:cstheme="minorHAnsi"/>
        </w:rPr>
        <w:t>više</w:t>
      </w:r>
      <w:r w:rsidRPr="00666593">
        <w:rPr>
          <w:rFonts w:cstheme="minorHAnsi"/>
        </w:rPr>
        <w:t xml:space="preserve"> su izvršeni za </w:t>
      </w:r>
      <w:r w:rsidR="00666593" w:rsidRPr="00666593">
        <w:rPr>
          <w:rFonts w:cstheme="minorHAnsi"/>
        </w:rPr>
        <w:t>571.755.496</w:t>
      </w:r>
      <w:r w:rsidRPr="00666593">
        <w:rPr>
          <w:rFonts w:cstheme="minorHAnsi"/>
        </w:rPr>
        <w:t xml:space="preserve"> kn </w:t>
      </w:r>
      <w:r w:rsidR="00D9558D" w:rsidRPr="00666593">
        <w:rPr>
          <w:rFonts w:cstheme="minorHAnsi"/>
        </w:rPr>
        <w:t xml:space="preserve">ili </w:t>
      </w:r>
      <w:r w:rsidR="00666593" w:rsidRPr="00666593">
        <w:rPr>
          <w:rFonts w:cstheme="minorHAnsi"/>
        </w:rPr>
        <w:t>8</w:t>
      </w:r>
      <w:r w:rsidRPr="00666593">
        <w:rPr>
          <w:rFonts w:cstheme="minorHAnsi"/>
        </w:rPr>
        <w:t>%.</w:t>
      </w:r>
    </w:p>
    <w:p w:rsidR="00114338" w:rsidRPr="00782771" w:rsidRDefault="00114338" w:rsidP="001B5FD7">
      <w:pPr>
        <w:autoSpaceDE w:val="0"/>
        <w:autoSpaceDN w:val="0"/>
        <w:adjustRightInd w:val="0"/>
        <w:spacing w:after="0" w:line="240" w:lineRule="auto"/>
        <w:jc w:val="both"/>
        <w:rPr>
          <w:rFonts w:cstheme="minorHAnsi"/>
          <w:color w:val="FF0000"/>
        </w:rPr>
      </w:pPr>
    </w:p>
    <w:p w:rsidR="00114338" w:rsidRPr="00AD7813" w:rsidRDefault="00114338" w:rsidP="001B5FD7">
      <w:pPr>
        <w:autoSpaceDE w:val="0"/>
        <w:autoSpaceDN w:val="0"/>
        <w:adjustRightInd w:val="0"/>
        <w:spacing w:after="0" w:line="240" w:lineRule="auto"/>
        <w:jc w:val="both"/>
        <w:rPr>
          <w:rFonts w:cstheme="minorHAnsi"/>
        </w:rPr>
      </w:pPr>
      <w:bookmarkStart w:id="1" w:name="_Hlk967417"/>
      <w:r w:rsidRPr="00AD7813">
        <w:rPr>
          <w:rFonts w:cstheme="minorHAnsi"/>
        </w:rPr>
        <w:t>Tablica 1. Ukupni prihodi i rashodi, primici i izdaci 201</w:t>
      </w:r>
      <w:r w:rsidR="00AD7813" w:rsidRPr="00AD7813">
        <w:rPr>
          <w:rFonts w:cstheme="minorHAnsi"/>
        </w:rPr>
        <w:t>8</w:t>
      </w:r>
      <w:r w:rsidRPr="00AD7813">
        <w:rPr>
          <w:rFonts w:cstheme="minorHAnsi"/>
        </w:rPr>
        <w:t xml:space="preserve">.god. </w:t>
      </w:r>
    </w:p>
    <w:p w:rsidR="00515A54" w:rsidRPr="00AD7813" w:rsidRDefault="00515A54" w:rsidP="001B5FD7">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651"/>
        <w:gridCol w:w="3030"/>
        <w:gridCol w:w="533"/>
        <w:gridCol w:w="1533"/>
        <w:gridCol w:w="1565"/>
        <w:gridCol w:w="700"/>
      </w:tblGrid>
      <w:tr w:rsidR="00782771" w:rsidRPr="00AD7813" w:rsidTr="009F3D0C">
        <w:trPr>
          <w:trHeight w:val="416"/>
        </w:trPr>
        <w:tc>
          <w:tcPr>
            <w:tcW w:w="651" w:type="dxa"/>
            <w:shd w:val="clear" w:color="auto" w:fill="BDD6EE" w:themeFill="accent1" w:themeFillTint="66"/>
            <w:noWrap/>
            <w:vAlign w:val="center"/>
            <w:hideMark/>
          </w:tcPr>
          <w:p w:rsidR="00D9558D" w:rsidRPr="00AD7813" w:rsidRDefault="00D9558D" w:rsidP="009F3D0C">
            <w:pPr>
              <w:autoSpaceDE w:val="0"/>
              <w:autoSpaceDN w:val="0"/>
              <w:adjustRightInd w:val="0"/>
              <w:jc w:val="center"/>
              <w:rPr>
                <w:rFonts w:cstheme="minorHAnsi"/>
                <w:sz w:val="16"/>
                <w:szCs w:val="16"/>
              </w:rPr>
            </w:pPr>
            <w:r w:rsidRPr="00AD7813">
              <w:rPr>
                <w:rFonts w:cstheme="minorHAnsi"/>
                <w:sz w:val="16"/>
                <w:szCs w:val="16"/>
              </w:rPr>
              <w:t>Račun</w:t>
            </w:r>
          </w:p>
        </w:tc>
        <w:tc>
          <w:tcPr>
            <w:tcW w:w="3030" w:type="dxa"/>
            <w:shd w:val="clear" w:color="auto" w:fill="BDD6EE" w:themeFill="accent1" w:themeFillTint="66"/>
            <w:noWrap/>
            <w:vAlign w:val="center"/>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OPIS</w:t>
            </w:r>
          </w:p>
        </w:tc>
        <w:tc>
          <w:tcPr>
            <w:tcW w:w="307" w:type="dxa"/>
            <w:shd w:val="clear" w:color="auto" w:fill="BDD6EE" w:themeFill="accent1" w:themeFillTint="66"/>
            <w:noWrap/>
            <w:vAlign w:val="center"/>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AOP</w:t>
            </w:r>
          </w:p>
        </w:tc>
        <w:tc>
          <w:tcPr>
            <w:tcW w:w="1533" w:type="dxa"/>
            <w:shd w:val="clear" w:color="auto" w:fill="BDD6EE" w:themeFill="accent1" w:themeFillTint="66"/>
            <w:vAlign w:val="center"/>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Ostvareno prethodne godine</w:t>
            </w:r>
          </w:p>
        </w:tc>
        <w:tc>
          <w:tcPr>
            <w:tcW w:w="1565" w:type="dxa"/>
            <w:shd w:val="clear" w:color="auto" w:fill="BDD6EE" w:themeFill="accent1" w:themeFillTint="66"/>
            <w:vAlign w:val="center"/>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Ostvareno u tekućem razdoblju</w:t>
            </w:r>
          </w:p>
        </w:tc>
        <w:tc>
          <w:tcPr>
            <w:tcW w:w="700" w:type="dxa"/>
            <w:shd w:val="clear" w:color="auto" w:fill="BDD6EE" w:themeFill="accent1" w:themeFillTint="66"/>
            <w:noWrap/>
            <w:vAlign w:val="center"/>
            <w:hideMark/>
          </w:tcPr>
          <w:p w:rsidR="00D9558D" w:rsidRPr="00AD7813" w:rsidRDefault="00D9558D" w:rsidP="009F3D0C">
            <w:pPr>
              <w:autoSpaceDE w:val="0"/>
              <w:autoSpaceDN w:val="0"/>
              <w:adjustRightInd w:val="0"/>
              <w:jc w:val="center"/>
              <w:rPr>
                <w:rFonts w:cstheme="minorHAnsi"/>
                <w:sz w:val="16"/>
                <w:szCs w:val="16"/>
              </w:rPr>
            </w:pPr>
            <w:r w:rsidRPr="00AD7813">
              <w:rPr>
                <w:rFonts w:cstheme="minorHAnsi"/>
                <w:sz w:val="16"/>
                <w:szCs w:val="16"/>
              </w:rPr>
              <w:t>INDEKS</w:t>
            </w:r>
          </w:p>
        </w:tc>
      </w:tr>
      <w:tr w:rsidR="00782771" w:rsidRPr="00AD7813" w:rsidTr="009F3D0C">
        <w:trPr>
          <w:trHeight w:val="210"/>
        </w:trPr>
        <w:tc>
          <w:tcPr>
            <w:tcW w:w="651" w:type="dxa"/>
            <w:shd w:val="clear" w:color="auto" w:fill="BDD6EE" w:themeFill="accent1" w:themeFillTint="66"/>
            <w:noWrap/>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1</w:t>
            </w:r>
          </w:p>
        </w:tc>
        <w:tc>
          <w:tcPr>
            <w:tcW w:w="3030" w:type="dxa"/>
            <w:shd w:val="clear" w:color="auto" w:fill="BDD6EE" w:themeFill="accent1" w:themeFillTint="66"/>
            <w:noWrap/>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2</w:t>
            </w:r>
          </w:p>
        </w:tc>
        <w:tc>
          <w:tcPr>
            <w:tcW w:w="307" w:type="dxa"/>
            <w:shd w:val="clear" w:color="auto" w:fill="BDD6EE" w:themeFill="accent1" w:themeFillTint="66"/>
            <w:noWrap/>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3</w:t>
            </w:r>
          </w:p>
        </w:tc>
        <w:tc>
          <w:tcPr>
            <w:tcW w:w="1533" w:type="dxa"/>
            <w:shd w:val="clear" w:color="auto" w:fill="BDD6EE" w:themeFill="accent1" w:themeFillTint="66"/>
            <w:noWrap/>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4</w:t>
            </w:r>
          </w:p>
        </w:tc>
        <w:tc>
          <w:tcPr>
            <w:tcW w:w="1565" w:type="dxa"/>
            <w:shd w:val="clear" w:color="auto" w:fill="BDD6EE" w:themeFill="accent1" w:themeFillTint="66"/>
            <w:noWrap/>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5</w:t>
            </w:r>
          </w:p>
        </w:tc>
        <w:tc>
          <w:tcPr>
            <w:tcW w:w="700" w:type="dxa"/>
            <w:shd w:val="clear" w:color="auto" w:fill="BDD6EE" w:themeFill="accent1" w:themeFillTint="66"/>
            <w:noWrap/>
            <w:hideMark/>
          </w:tcPr>
          <w:p w:rsidR="00D9558D" w:rsidRPr="00AD7813" w:rsidRDefault="00D9558D" w:rsidP="009F3D0C">
            <w:pPr>
              <w:autoSpaceDE w:val="0"/>
              <w:autoSpaceDN w:val="0"/>
              <w:adjustRightInd w:val="0"/>
              <w:jc w:val="center"/>
              <w:rPr>
                <w:rFonts w:cstheme="minorHAnsi"/>
                <w:sz w:val="18"/>
                <w:szCs w:val="18"/>
              </w:rPr>
            </w:pPr>
            <w:r w:rsidRPr="00AD7813">
              <w:rPr>
                <w:rFonts w:cstheme="minorHAnsi"/>
                <w:sz w:val="18"/>
                <w:szCs w:val="18"/>
              </w:rPr>
              <w:t>6</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6</w:t>
            </w:r>
          </w:p>
        </w:tc>
        <w:tc>
          <w:tcPr>
            <w:tcW w:w="3030"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PRIHODI POSLOVANJA</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001</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6.419.837.163</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7.223.024.520</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113</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7</w:t>
            </w:r>
          </w:p>
        </w:tc>
        <w:tc>
          <w:tcPr>
            <w:tcW w:w="3030" w:type="dxa"/>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PRIHOD OD PRODAJE NEFINANCIJSKE IMOVINE</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289</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151.729.475</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57.189.416</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38</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8</w:t>
            </w:r>
          </w:p>
        </w:tc>
        <w:tc>
          <w:tcPr>
            <w:tcW w:w="3030" w:type="dxa"/>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PRIMICI OD FINAN IMOVINE I ZADUŽIVANJA</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410</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368.766.165</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565.916.785</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153</w:t>
            </w:r>
          </w:p>
        </w:tc>
      </w:tr>
      <w:tr w:rsidR="00782771" w:rsidRPr="00AD7813" w:rsidTr="009A2B8A">
        <w:trPr>
          <w:trHeight w:val="540"/>
        </w:trPr>
        <w:tc>
          <w:tcPr>
            <w:tcW w:w="651"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p>
        </w:tc>
        <w:tc>
          <w:tcPr>
            <w:tcW w:w="3030"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UKUPNI PRIHODI I PRIMICI</w:t>
            </w:r>
          </w:p>
        </w:tc>
        <w:tc>
          <w:tcPr>
            <w:tcW w:w="307"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629</w:t>
            </w:r>
          </w:p>
        </w:tc>
        <w:tc>
          <w:tcPr>
            <w:tcW w:w="1533"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6.940.332.803</w:t>
            </w:r>
          </w:p>
        </w:tc>
        <w:tc>
          <w:tcPr>
            <w:tcW w:w="1565"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7.846.130.721</w:t>
            </w:r>
          </w:p>
        </w:tc>
        <w:tc>
          <w:tcPr>
            <w:tcW w:w="700"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113</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3</w:t>
            </w:r>
          </w:p>
        </w:tc>
        <w:tc>
          <w:tcPr>
            <w:tcW w:w="3030"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RASHODI POSLOVANJA</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148</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6.423.072.225</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6.732.159.784</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105</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4</w:t>
            </w:r>
          </w:p>
        </w:tc>
        <w:tc>
          <w:tcPr>
            <w:tcW w:w="3030" w:type="dxa"/>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RASHODI ZA NABAVU NEFINANCIJSKE IMOVINE</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341</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526.430.581</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836.731.984</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159</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5</w:t>
            </w:r>
          </w:p>
        </w:tc>
        <w:tc>
          <w:tcPr>
            <w:tcW w:w="3030" w:type="dxa"/>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IZDACI ZA FINANCIJSKU IMOVINU I OTPLATE ZAJMOVA</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518</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375.806.846</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328.173.380</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87</w:t>
            </w:r>
          </w:p>
        </w:tc>
      </w:tr>
      <w:tr w:rsidR="00782771" w:rsidRPr="00AD7813" w:rsidTr="009A2B8A">
        <w:trPr>
          <w:trHeight w:val="570"/>
        </w:trPr>
        <w:tc>
          <w:tcPr>
            <w:tcW w:w="651"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p>
        </w:tc>
        <w:tc>
          <w:tcPr>
            <w:tcW w:w="3030"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UKUPNI RASHODI I IZDACI</w:t>
            </w:r>
          </w:p>
        </w:tc>
        <w:tc>
          <w:tcPr>
            <w:tcW w:w="307"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630</w:t>
            </w:r>
          </w:p>
        </w:tc>
        <w:tc>
          <w:tcPr>
            <w:tcW w:w="1533"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7.325.309.652</w:t>
            </w:r>
          </w:p>
        </w:tc>
        <w:tc>
          <w:tcPr>
            <w:tcW w:w="1565"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7.897.065.148</w:t>
            </w:r>
          </w:p>
        </w:tc>
        <w:tc>
          <w:tcPr>
            <w:tcW w:w="700"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108</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922</w:t>
            </w:r>
          </w:p>
        </w:tc>
        <w:tc>
          <w:tcPr>
            <w:tcW w:w="3030"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VIŠAK/MANJAK PRIHODA I PRIMITAKA</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632</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384.976.849</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50.934.427</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13</w:t>
            </w:r>
          </w:p>
        </w:tc>
      </w:tr>
      <w:tr w:rsidR="00782771" w:rsidRPr="00AD7813" w:rsidTr="009A2B8A">
        <w:trPr>
          <w:trHeight w:val="555"/>
        </w:trPr>
        <w:tc>
          <w:tcPr>
            <w:tcW w:w="651"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922</w:t>
            </w:r>
          </w:p>
        </w:tc>
        <w:tc>
          <w:tcPr>
            <w:tcW w:w="3030" w:type="dxa"/>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VIŠAK/MANJAK PRIHODA I PRIMITAKA PRENESENI</w:t>
            </w:r>
          </w:p>
        </w:tc>
        <w:tc>
          <w:tcPr>
            <w:tcW w:w="307" w:type="dxa"/>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634</w:t>
            </w:r>
          </w:p>
        </w:tc>
        <w:tc>
          <w:tcPr>
            <w:tcW w:w="1533"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193.038.962</w:t>
            </w:r>
          </w:p>
        </w:tc>
        <w:tc>
          <w:tcPr>
            <w:tcW w:w="1565"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578.015.812</w:t>
            </w:r>
          </w:p>
        </w:tc>
        <w:tc>
          <w:tcPr>
            <w:tcW w:w="700" w:type="dxa"/>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299</w:t>
            </w:r>
          </w:p>
        </w:tc>
      </w:tr>
      <w:tr w:rsidR="00AD7813" w:rsidRPr="00AD7813" w:rsidTr="009A2B8A">
        <w:trPr>
          <w:trHeight w:val="555"/>
        </w:trPr>
        <w:tc>
          <w:tcPr>
            <w:tcW w:w="651"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922</w:t>
            </w:r>
          </w:p>
        </w:tc>
        <w:tc>
          <w:tcPr>
            <w:tcW w:w="3030"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ZA POKRIĆE U SLIJEDEĆEM RAZDOBLJU</w:t>
            </w:r>
          </w:p>
        </w:tc>
        <w:tc>
          <w:tcPr>
            <w:tcW w:w="307" w:type="dxa"/>
            <w:shd w:val="clear" w:color="auto" w:fill="BDD6EE" w:themeFill="accent1" w:themeFillTint="66"/>
            <w:noWrap/>
            <w:vAlign w:val="center"/>
            <w:hideMark/>
          </w:tcPr>
          <w:p w:rsidR="00D9558D" w:rsidRPr="00AD7813" w:rsidRDefault="00D9558D" w:rsidP="001B5FD7">
            <w:pPr>
              <w:autoSpaceDE w:val="0"/>
              <w:autoSpaceDN w:val="0"/>
              <w:adjustRightInd w:val="0"/>
              <w:jc w:val="both"/>
              <w:rPr>
                <w:rFonts w:cstheme="minorHAnsi"/>
                <w:sz w:val="18"/>
                <w:szCs w:val="18"/>
              </w:rPr>
            </w:pPr>
            <w:r w:rsidRPr="00AD7813">
              <w:rPr>
                <w:rFonts w:cstheme="minorHAnsi"/>
                <w:sz w:val="18"/>
                <w:szCs w:val="18"/>
              </w:rPr>
              <w:t> </w:t>
            </w:r>
            <w:r w:rsidR="002F4FE7" w:rsidRPr="00AD7813">
              <w:rPr>
                <w:rFonts w:cstheme="minorHAnsi"/>
                <w:sz w:val="18"/>
                <w:szCs w:val="18"/>
              </w:rPr>
              <w:t>636</w:t>
            </w:r>
          </w:p>
        </w:tc>
        <w:tc>
          <w:tcPr>
            <w:tcW w:w="1533"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578.015.811</w:t>
            </w:r>
          </w:p>
        </w:tc>
        <w:tc>
          <w:tcPr>
            <w:tcW w:w="1565"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628.950.239</w:t>
            </w:r>
          </w:p>
        </w:tc>
        <w:tc>
          <w:tcPr>
            <w:tcW w:w="700" w:type="dxa"/>
            <w:shd w:val="clear" w:color="auto" w:fill="BDD6EE" w:themeFill="accent1" w:themeFillTint="66"/>
            <w:noWrap/>
            <w:vAlign w:val="center"/>
          </w:tcPr>
          <w:p w:rsidR="00D9558D" w:rsidRPr="00AD7813" w:rsidRDefault="007A5D1C" w:rsidP="007A5D1C">
            <w:pPr>
              <w:autoSpaceDE w:val="0"/>
              <w:autoSpaceDN w:val="0"/>
              <w:adjustRightInd w:val="0"/>
              <w:jc w:val="center"/>
              <w:rPr>
                <w:rFonts w:cstheme="minorHAnsi"/>
                <w:sz w:val="18"/>
                <w:szCs w:val="18"/>
              </w:rPr>
            </w:pPr>
            <w:r w:rsidRPr="00AD7813">
              <w:rPr>
                <w:rFonts w:cstheme="minorHAnsi"/>
                <w:sz w:val="18"/>
                <w:szCs w:val="18"/>
              </w:rPr>
              <w:t>109</w:t>
            </w:r>
          </w:p>
        </w:tc>
      </w:tr>
      <w:bookmarkEnd w:id="1"/>
    </w:tbl>
    <w:p w:rsidR="00515A54" w:rsidRDefault="00515A54" w:rsidP="001B5FD7">
      <w:pPr>
        <w:autoSpaceDE w:val="0"/>
        <w:autoSpaceDN w:val="0"/>
        <w:adjustRightInd w:val="0"/>
        <w:spacing w:after="0" w:line="240" w:lineRule="auto"/>
        <w:jc w:val="both"/>
        <w:rPr>
          <w:rFonts w:cstheme="minorHAnsi"/>
          <w:sz w:val="18"/>
          <w:szCs w:val="18"/>
        </w:rPr>
      </w:pPr>
    </w:p>
    <w:p w:rsidR="00DC754E" w:rsidRDefault="00DC754E" w:rsidP="001B5FD7">
      <w:pPr>
        <w:autoSpaceDE w:val="0"/>
        <w:autoSpaceDN w:val="0"/>
        <w:adjustRightInd w:val="0"/>
        <w:spacing w:after="0" w:line="240" w:lineRule="auto"/>
        <w:jc w:val="both"/>
        <w:rPr>
          <w:rFonts w:cstheme="minorHAnsi"/>
          <w:b/>
          <w:u w:val="single"/>
        </w:rPr>
      </w:pPr>
    </w:p>
    <w:p w:rsidR="00DE3354" w:rsidRDefault="00DE3354" w:rsidP="00355687">
      <w:pPr>
        <w:spacing w:line="240" w:lineRule="auto"/>
        <w:rPr>
          <w:rFonts w:ascii="Arial" w:hAnsi="Arial" w:cs="Arial"/>
          <w:b/>
        </w:rPr>
      </w:pPr>
    </w:p>
    <w:p w:rsidR="00DE3354" w:rsidRDefault="00DE3354" w:rsidP="00355687">
      <w:pPr>
        <w:spacing w:line="240" w:lineRule="auto"/>
        <w:rPr>
          <w:rFonts w:ascii="Arial" w:hAnsi="Arial" w:cs="Arial"/>
          <w:b/>
        </w:rPr>
      </w:pPr>
    </w:p>
    <w:p w:rsidR="00DE3354" w:rsidRDefault="00DE3354" w:rsidP="00355687">
      <w:pPr>
        <w:spacing w:line="240" w:lineRule="auto"/>
        <w:rPr>
          <w:rFonts w:ascii="Arial" w:hAnsi="Arial" w:cs="Arial"/>
          <w:b/>
        </w:rPr>
      </w:pPr>
    </w:p>
    <w:p w:rsidR="00DE3354" w:rsidRDefault="00DE3354" w:rsidP="00355687">
      <w:pPr>
        <w:spacing w:line="240" w:lineRule="auto"/>
        <w:rPr>
          <w:rFonts w:ascii="Arial" w:hAnsi="Arial" w:cs="Arial"/>
          <w:b/>
        </w:rPr>
      </w:pPr>
    </w:p>
    <w:p w:rsidR="00DE3354" w:rsidRDefault="00DE3354" w:rsidP="00355687">
      <w:pPr>
        <w:spacing w:line="240" w:lineRule="auto"/>
        <w:rPr>
          <w:rFonts w:ascii="Arial" w:hAnsi="Arial" w:cs="Arial"/>
          <w:b/>
        </w:rPr>
      </w:pPr>
    </w:p>
    <w:p w:rsidR="00DE3354" w:rsidRDefault="00DE3354" w:rsidP="00355687">
      <w:pPr>
        <w:spacing w:line="240" w:lineRule="auto"/>
        <w:rPr>
          <w:rFonts w:ascii="Arial" w:hAnsi="Arial" w:cs="Arial"/>
          <w:b/>
        </w:rPr>
      </w:pPr>
    </w:p>
    <w:p w:rsidR="00355687" w:rsidRPr="00DE3354" w:rsidRDefault="00355687" w:rsidP="00355687">
      <w:pPr>
        <w:spacing w:line="240" w:lineRule="auto"/>
        <w:rPr>
          <w:rFonts w:cstheme="minorHAnsi"/>
          <w:b/>
        </w:rPr>
      </w:pPr>
      <w:r w:rsidRPr="00DE3354">
        <w:rPr>
          <w:rFonts w:cstheme="minorHAnsi"/>
          <w:b/>
        </w:rPr>
        <w:lastRenderedPageBreak/>
        <w:t>AOP 003</w:t>
      </w:r>
    </w:p>
    <w:p w:rsidR="00355687" w:rsidRPr="00DE3354" w:rsidRDefault="00355687" w:rsidP="00355687">
      <w:pPr>
        <w:spacing w:line="240" w:lineRule="auto"/>
        <w:rPr>
          <w:rFonts w:cstheme="minorHAnsi"/>
          <w:i/>
        </w:rPr>
      </w:pPr>
      <w:r w:rsidRPr="00DE3354">
        <w:rPr>
          <w:rFonts w:cstheme="minorHAnsi"/>
          <w:i/>
        </w:rPr>
        <w:t>Porez i prirez na dohodak</w:t>
      </w:r>
    </w:p>
    <w:p w:rsidR="00355687" w:rsidRPr="00DE3354" w:rsidRDefault="00355687" w:rsidP="00355687">
      <w:pPr>
        <w:spacing w:line="240" w:lineRule="auto"/>
        <w:jc w:val="both"/>
        <w:rPr>
          <w:rFonts w:cstheme="minorHAnsi"/>
        </w:rPr>
      </w:pPr>
      <w:r w:rsidRPr="00DE3354">
        <w:rPr>
          <w:rFonts w:cstheme="minorHAnsi"/>
        </w:rPr>
        <w:t xml:space="preserve">Zakon o financiranju jedinica lokalne i područne (regionalne) samouprave (Narodne novine 127/17) koji se primjenjuje od 1. siječnja 2018. regulira raspodjelu poreza na dohodak koji se dijeli između općina, gradova i županija. </w:t>
      </w:r>
    </w:p>
    <w:tbl>
      <w:tblPr>
        <w:tblW w:w="7525" w:type="dxa"/>
        <w:jc w:val="center"/>
        <w:tblLook w:val="04A0" w:firstRow="1" w:lastRow="0" w:firstColumn="1" w:lastColumn="0" w:noHBand="0" w:noVBand="1"/>
      </w:tblPr>
      <w:tblGrid>
        <w:gridCol w:w="3805"/>
        <w:gridCol w:w="1860"/>
        <w:gridCol w:w="1860"/>
      </w:tblGrid>
      <w:tr w:rsidR="00355687" w:rsidRPr="00DE3354" w:rsidTr="00CF6359">
        <w:trPr>
          <w:trHeight w:val="270"/>
          <w:jc w:val="center"/>
        </w:trPr>
        <w:tc>
          <w:tcPr>
            <w:tcW w:w="3805" w:type="dxa"/>
            <w:tcBorders>
              <w:top w:val="nil"/>
              <w:left w:val="nil"/>
              <w:bottom w:val="nil"/>
              <w:right w:val="nil"/>
            </w:tcBorders>
            <w:shd w:val="clear" w:color="auto" w:fill="auto"/>
            <w:noWrap/>
            <w:vAlign w:val="bottom"/>
            <w:hideMark/>
          </w:tcPr>
          <w:p w:rsidR="00355687" w:rsidRPr="00DE3354" w:rsidRDefault="00355687" w:rsidP="00CF6359">
            <w:pPr>
              <w:spacing w:after="0" w:line="240" w:lineRule="auto"/>
              <w:rPr>
                <w:rFonts w:eastAsia="Times New Roman" w:cstheme="minorHAnsi"/>
                <w:lang w:eastAsia="hr-HR"/>
              </w:rPr>
            </w:pPr>
          </w:p>
        </w:tc>
        <w:tc>
          <w:tcPr>
            <w:tcW w:w="1860" w:type="dxa"/>
            <w:tcBorders>
              <w:top w:val="nil"/>
              <w:left w:val="nil"/>
              <w:bottom w:val="nil"/>
              <w:right w:val="nil"/>
            </w:tcBorders>
            <w:shd w:val="clear" w:color="auto" w:fill="auto"/>
            <w:noWrap/>
            <w:vAlign w:val="bottom"/>
            <w:hideMark/>
          </w:tcPr>
          <w:p w:rsidR="00355687" w:rsidRPr="00DE3354" w:rsidRDefault="00355687" w:rsidP="00CF6359">
            <w:pPr>
              <w:spacing w:after="0" w:line="240" w:lineRule="auto"/>
              <w:rPr>
                <w:rFonts w:eastAsia="Times New Roman" w:cstheme="minorHAnsi"/>
                <w:lang w:eastAsia="hr-HR"/>
              </w:rPr>
            </w:pPr>
          </w:p>
        </w:tc>
        <w:tc>
          <w:tcPr>
            <w:tcW w:w="1860" w:type="dxa"/>
            <w:tcBorders>
              <w:top w:val="nil"/>
              <w:left w:val="nil"/>
              <w:bottom w:val="double" w:sz="6" w:space="0" w:color="auto"/>
              <w:right w:val="nil"/>
            </w:tcBorders>
            <w:shd w:val="clear" w:color="auto" w:fill="auto"/>
            <w:noWrap/>
            <w:vAlign w:val="bottom"/>
          </w:tcPr>
          <w:p w:rsidR="00355687" w:rsidRPr="00DE3354" w:rsidRDefault="00355687" w:rsidP="00CF6359">
            <w:pPr>
              <w:spacing w:after="0" w:line="240" w:lineRule="auto"/>
              <w:jc w:val="right"/>
              <w:rPr>
                <w:rFonts w:eastAsia="Times New Roman" w:cstheme="minorHAnsi"/>
                <w:lang w:eastAsia="hr-HR"/>
              </w:rPr>
            </w:pPr>
          </w:p>
        </w:tc>
      </w:tr>
      <w:tr w:rsidR="00355687" w:rsidRPr="00DE3354" w:rsidTr="003A3A4E">
        <w:trPr>
          <w:trHeight w:val="285"/>
          <w:jc w:val="center"/>
        </w:trPr>
        <w:tc>
          <w:tcPr>
            <w:tcW w:w="3805" w:type="dxa"/>
            <w:tcBorders>
              <w:top w:val="double" w:sz="6" w:space="0" w:color="auto"/>
              <w:left w:val="double" w:sz="6" w:space="0" w:color="auto"/>
              <w:bottom w:val="double" w:sz="6" w:space="0" w:color="auto"/>
              <w:right w:val="nil"/>
            </w:tcBorders>
            <w:shd w:val="clear" w:color="auto" w:fill="DEEAF6" w:themeFill="accent1" w:themeFillTint="33"/>
            <w:noWrap/>
            <w:vAlign w:val="bottom"/>
            <w:hideMark/>
          </w:tcPr>
          <w:p w:rsidR="00355687" w:rsidRPr="00DE3354" w:rsidRDefault="00355687" w:rsidP="00CF6359">
            <w:pPr>
              <w:spacing w:after="0" w:line="240" w:lineRule="auto"/>
              <w:rPr>
                <w:rFonts w:eastAsia="Times New Roman" w:cstheme="minorHAnsi"/>
                <w:b/>
                <w:bCs/>
                <w:lang w:eastAsia="hr-HR"/>
              </w:rPr>
            </w:pPr>
            <w:r w:rsidRPr="00DE3354">
              <w:rPr>
                <w:rFonts w:eastAsia="Times New Roman" w:cstheme="minorHAnsi"/>
                <w:b/>
                <w:bCs/>
                <w:lang w:eastAsia="hr-HR"/>
              </w:rPr>
              <w:t> Raspodjela poreza na dohodak</w:t>
            </w:r>
          </w:p>
        </w:tc>
        <w:tc>
          <w:tcPr>
            <w:tcW w:w="1860" w:type="dxa"/>
            <w:tcBorders>
              <w:top w:val="double" w:sz="6" w:space="0" w:color="auto"/>
              <w:left w:val="double" w:sz="6" w:space="0" w:color="auto"/>
              <w:bottom w:val="double" w:sz="6" w:space="0" w:color="auto"/>
              <w:right w:val="double" w:sz="6" w:space="0" w:color="auto"/>
            </w:tcBorders>
            <w:shd w:val="clear" w:color="auto" w:fill="DEEAF6" w:themeFill="accent1" w:themeFillTint="33"/>
            <w:vAlign w:val="bottom"/>
            <w:hideMark/>
          </w:tcPr>
          <w:p w:rsidR="00355687" w:rsidRPr="00DE3354" w:rsidRDefault="00355687" w:rsidP="00CF6359">
            <w:pPr>
              <w:spacing w:after="0" w:line="240" w:lineRule="auto"/>
              <w:jc w:val="center"/>
              <w:rPr>
                <w:rFonts w:eastAsia="Times New Roman" w:cstheme="minorHAnsi"/>
                <w:b/>
                <w:bCs/>
                <w:lang w:eastAsia="hr-HR"/>
              </w:rPr>
            </w:pPr>
            <w:r w:rsidRPr="00DE3354">
              <w:rPr>
                <w:rFonts w:eastAsia="Times New Roman" w:cstheme="minorHAnsi"/>
                <w:b/>
                <w:bCs/>
                <w:lang w:eastAsia="hr-HR"/>
              </w:rPr>
              <w:t>do 31.12.2017.</w:t>
            </w:r>
          </w:p>
        </w:tc>
        <w:tc>
          <w:tcPr>
            <w:tcW w:w="1860" w:type="dxa"/>
            <w:tcBorders>
              <w:top w:val="nil"/>
              <w:left w:val="single" w:sz="4" w:space="0" w:color="auto"/>
              <w:bottom w:val="double" w:sz="6" w:space="0" w:color="auto"/>
              <w:right w:val="double" w:sz="6" w:space="0" w:color="auto"/>
            </w:tcBorders>
            <w:shd w:val="clear" w:color="auto" w:fill="DEEAF6" w:themeFill="accent1" w:themeFillTint="33"/>
            <w:vAlign w:val="bottom"/>
            <w:hideMark/>
          </w:tcPr>
          <w:p w:rsidR="00355687" w:rsidRPr="00DE3354" w:rsidRDefault="00355687" w:rsidP="00CF6359">
            <w:pPr>
              <w:spacing w:after="0" w:line="240" w:lineRule="auto"/>
              <w:jc w:val="center"/>
              <w:rPr>
                <w:rFonts w:eastAsia="Times New Roman" w:cstheme="minorHAnsi"/>
                <w:b/>
                <w:bCs/>
                <w:lang w:eastAsia="hr-HR"/>
              </w:rPr>
            </w:pPr>
            <w:r w:rsidRPr="00DE3354">
              <w:rPr>
                <w:rFonts w:eastAsia="Times New Roman" w:cstheme="minorHAnsi"/>
                <w:b/>
                <w:bCs/>
                <w:lang w:eastAsia="hr-HR"/>
              </w:rPr>
              <w:t>od 01.01.2018.</w:t>
            </w:r>
          </w:p>
        </w:tc>
      </w:tr>
      <w:tr w:rsidR="00355687" w:rsidRPr="00DE3354" w:rsidTr="00CF6359">
        <w:trPr>
          <w:trHeight w:val="270"/>
          <w:jc w:val="center"/>
        </w:trPr>
        <w:tc>
          <w:tcPr>
            <w:tcW w:w="3805" w:type="dxa"/>
            <w:tcBorders>
              <w:top w:val="nil"/>
              <w:left w:val="double" w:sz="6" w:space="0" w:color="auto"/>
              <w:bottom w:val="single" w:sz="4" w:space="0" w:color="auto"/>
              <w:right w:val="nil"/>
            </w:tcBorders>
            <w:shd w:val="clear" w:color="auto" w:fill="auto"/>
            <w:noWrap/>
            <w:vAlign w:val="bottom"/>
          </w:tcPr>
          <w:p w:rsidR="00355687" w:rsidRPr="00DE3354" w:rsidRDefault="00355687" w:rsidP="00CF6359">
            <w:pPr>
              <w:spacing w:after="0" w:line="240" w:lineRule="auto"/>
              <w:rPr>
                <w:rFonts w:eastAsia="Times New Roman" w:cstheme="minorHAnsi"/>
                <w:lang w:eastAsia="hr-HR"/>
              </w:rPr>
            </w:pPr>
            <w:r w:rsidRPr="00DE3354">
              <w:rPr>
                <w:rFonts w:eastAsia="Times New Roman" w:cstheme="minorHAnsi"/>
                <w:lang w:eastAsia="hr-HR"/>
              </w:rPr>
              <w:t>Udio Grada</w:t>
            </w:r>
          </w:p>
        </w:tc>
        <w:tc>
          <w:tcPr>
            <w:tcW w:w="1860" w:type="dxa"/>
            <w:tcBorders>
              <w:top w:val="nil"/>
              <w:left w:val="double" w:sz="6" w:space="0" w:color="auto"/>
              <w:bottom w:val="single" w:sz="4" w:space="0" w:color="auto"/>
              <w:right w:val="double" w:sz="6" w:space="0" w:color="auto"/>
            </w:tcBorders>
            <w:shd w:val="clear" w:color="auto" w:fill="auto"/>
            <w:noWrap/>
            <w:vAlign w:val="bottom"/>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60,0</w:t>
            </w:r>
          </w:p>
        </w:tc>
        <w:tc>
          <w:tcPr>
            <w:tcW w:w="1860" w:type="dxa"/>
            <w:tcBorders>
              <w:top w:val="nil"/>
              <w:left w:val="single" w:sz="4" w:space="0" w:color="auto"/>
              <w:bottom w:val="single" w:sz="4" w:space="0" w:color="auto"/>
              <w:right w:val="double" w:sz="6" w:space="0" w:color="auto"/>
            </w:tcBorders>
            <w:shd w:val="clear" w:color="auto" w:fill="auto"/>
            <w:noWrap/>
            <w:vAlign w:val="bottom"/>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60,0</w:t>
            </w:r>
          </w:p>
        </w:tc>
      </w:tr>
      <w:tr w:rsidR="00355687" w:rsidRPr="00DE3354" w:rsidTr="00CF6359">
        <w:trPr>
          <w:trHeight w:val="255"/>
          <w:jc w:val="center"/>
        </w:trPr>
        <w:tc>
          <w:tcPr>
            <w:tcW w:w="3805" w:type="dxa"/>
            <w:tcBorders>
              <w:top w:val="nil"/>
              <w:left w:val="double" w:sz="6" w:space="0" w:color="auto"/>
              <w:bottom w:val="single" w:sz="4" w:space="0" w:color="auto"/>
              <w:right w:val="nil"/>
            </w:tcBorders>
            <w:shd w:val="clear" w:color="auto" w:fill="auto"/>
            <w:noWrap/>
            <w:vAlign w:val="bottom"/>
          </w:tcPr>
          <w:p w:rsidR="00355687" w:rsidRPr="00DE3354" w:rsidRDefault="00355687" w:rsidP="00CF6359">
            <w:pPr>
              <w:spacing w:after="0" w:line="240" w:lineRule="auto"/>
              <w:rPr>
                <w:rFonts w:eastAsia="Times New Roman" w:cstheme="minorHAnsi"/>
                <w:lang w:eastAsia="hr-HR"/>
              </w:rPr>
            </w:pPr>
            <w:r w:rsidRPr="00DE3354">
              <w:rPr>
                <w:rFonts w:eastAsia="Times New Roman" w:cstheme="minorHAnsi"/>
                <w:lang w:eastAsia="hr-HR"/>
              </w:rPr>
              <w:t>Udio županije</w:t>
            </w:r>
          </w:p>
        </w:tc>
        <w:tc>
          <w:tcPr>
            <w:tcW w:w="1860" w:type="dxa"/>
            <w:tcBorders>
              <w:top w:val="nil"/>
              <w:left w:val="double" w:sz="6" w:space="0" w:color="auto"/>
              <w:bottom w:val="single" w:sz="4" w:space="0" w:color="auto"/>
              <w:right w:val="double" w:sz="6" w:space="0" w:color="auto"/>
            </w:tcBorders>
            <w:shd w:val="clear" w:color="auto" w:fill="auto"/>
            <w:noWrap/>
            <w:vAlign w:val="bottom"/>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16,5</w:t>
            </w:r>
          </w:p>
        </w:tc>
        <w:tc>
          <w:tcPr>
            <w:tcW w:w="1860" w:type="dxa"/>
            <w:tcBorders>
              <w:top w:val="nil"/>
              <w:left w:val="single" w:sz="4" w:space="0" w:color="auto"/>
              <w:bottom w:val="single" w:sz="4" w:space="0" w:color="auto"/>
              <w:right w:val="double" w:sz="6" w:space="0" w:color="auto"/>
            </w:tcBorders>
            <w:shd w:val="clear" w:color="auto" w:fill="auto"/>
            <w:noWrap/>
            <w:vAlign w:val="center"/>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17,0</w:t>
            </w:r>
          </w:p>
        </w:tc>
      </w:tr>
      <w:tr w:rsidR="00355687" w:rsidRPr="00DE3354" w:rsidTr="00CF6359">
        <w:trPr>
          <w:trHeight w:val="255"/>
          <w:jc w:val="center"/>
        </w:trPr>
        <w:tc>
          <w:tcPr>
            <w:tcW w:w="3805" w:type="dxa"/>
            <w:tcBorders>
              <w:top w:val="nil"/>
              <w:left w:val="double" w:sz="6" w:space="0" w:color="auto"/>
              <w:bottom w:val="single" w:sz="4" w:space="0" w:color="auto"/>
              <w:right w:val="nil"/>
            </w:tcBorders>
            <w:shd w:val="clear" w:color="auto" w:fill="auto"/>
            <w:noWrap/>
            <w:vAlign w:val="bottom"/>
          </w:tcPr>
          <w:p w:rsidR="00355687" w:rsidRPr="00DE3354" w:rsidRDefault="00355687" w:rsidP="00CF6359">
            <w:pPr>
              <w:spacing w:after="0" w:line="240" w:lineRule="auto"/>
              <w:rPr>
                <w:rFonts w:eastAsia="Times New Roman" w:cstheme="minorHAnsi"/>
                <w:lang w:eastAsia="hr-HR"/>
              </w:rPr>
            </w:pPr>
            <w:r w:rsidRPr="00DE3354">
              <w:rPr>
                <w:rFonts w:eastAsia="Times New Roman" w:cstheme="minorHAnsi"/>
                <w:lang w:eastAsia="hr-HR"/>
              </w:rPr>
              <w:t>Udio za decentralizirane funkcije</w:t>
            </w:r>
          </w:p>
        </w:tc>
        <w:tc>
          <w:tcPr>
            <w:tcW w:w="1860" w:type="dxa"/>
            <w:tcBorders>
              <w:top w:val="nil"/>
              <w:left w:val="double" w:sz="6" w:space="0" w:color="auto"/>
              <w:bottom w:val="single" w:sz="4" w:space="0" w:color="auto"/>
              <w:right w:val="double" w:sz="6" w:space="0" w:color="auto"/>
            </w:tcBorders>
            <w:shd w:val="clear" w:color="auto" w:fill="auto"/>
            <w:noWrap/>
            <w:vAlign w:val="center"/>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6,0</w:t>
            </w:r>
          </w:p>
        </w:tc>
        <w:tc>
          <w:tcPr>
            <w:tcW w:w="1860" w:type="dxa"/>
            <w:tcBorders>
              <w:top w:val="nil"/>
              <w:left w:val="single" w:sz="4" w:space="0" w:color="auto"/>
              <w:bottom w:val="single" w:sz="4" w:space="0" w:color="auto"/>
              <w:right w:val="double" w:sz="6" w:space="0" w:color="auto"/>
            </w:tcBorders>
            <w:shd w:val="clear" w:color="auto" w:fill="auto"/>
            <w:noWrap/>
            <w:vAlign w:val="bottom"/>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6,0</w:t>
            </w:r>
          </w:p>
        </w:tc>
      </w:tr>
      <w:tr w:rsidR="00355687" w:rsidRPr="00DE3354" w:rsidTr="00CF6359">
        <w:trPr>
          <w:trHeight w:val="255"/>
          <w:jc w:val="center"/>
        </w:trPr>
        <w:tc>
          <w:tcPr>
            <w:tcW w:w="3805" w:type="dxa"/>
            <w:tcBorders>
              <w:top w:val="nil"/>
              <w:left w:val="double" w:sz="6" w:space="0" w:color="auto"/>
              <w:bottom w:val="single" w:sz="4" w:space="0" w:color="auto"/>
              <w:right w:val="nil"/>
            </w:tcBorders>
            <w:shd w:val="clear" w:color="auto" w:fill="auto"/>
            <w:noWrap/>
            <w:vAlign w:val="bottom"/>
          </w:tcPr>
          <w:p w:rsidR="00355687" w:rsidRPr="00DE3354" w:rsidRDefault="00355687" w:rsidP="00CF6359">
            <w:pPr>
              <w:spacing w:after="0" w:line="240" w:lineRule="auto"/>
              <w:rPr>
                <w:rFonts w:eastAsia="Times New Roman" w:cstheme="minorHAnsi"/>
                <w:lang w:eastAsia="hr-HR"/>
              </w:rPr>
            </w:pPr>
            <w:r w:rsidRPr="00DE3354">
              <w:rPr>
                <w:rFonts w:eastAsia="Times New Roman" w:cstheme="minorHAnsi"/>
                <w:lang w:eastAsia="hr-HR"/>
              </w:rPr>
              <w:t>Udio pozicije za pomoći izravnanja</w:t>
            </w:r>
          </w:p>
        </w:tc>
        <w:tc>
          <w:tcPr>
            <w:tcW w:w="1860" w:type="dxa"/>
            <w:tcBorders>
              <w:top w:val="nil"/>
              <w:left w:val="double" w:sz="6" w:space="0" w:color="auto"/>
              <w:bottom w:val="single" w:sz="4" w:space="0" w:color="auto"/>
              <w:right w:val="double" w:sz="6" w:space="0" w:color="auto"/>
            </w:tcBorders>
            <w:shd w:val="clear" w:color="auto" w:fill="auto"/>
            <w:noWrap/>
            <w:vAlign w:val="center"/>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16,0</w:t>
            </w:r>
          </w:p>
        </w:tc>
        <w:tc>
          <w:tcPr>
            <w:tcW w:w="1860" w:type="dxa"/>
            <w:tcBorders>
              <w:top w:val="nil"/>
              <w:left w:val="single" w:sz="4" w:space="0" w:color="auto"/>
              <w:bottom w:val="single" w:sz="4" w:space="0" w:color="auto"/>
              <w:right w:val="double" w:sz="6" w:space="0" w:color="auto"/>
            </w:tcBorders>
            <w:shd w:val="clear" w:color="auto" w:fill="auto"/>
            <w:noWrap/>
            <w:vAlign w:val="center"/>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w:t>
            </w:r>
          </w:p>
        </w:tc>
      </w:tr>
      <w:tr w:rsidR="00355687" w:rsidRPr="00DE3354" w:rsidTr="00CF6359">
        <w:trPr>
          <w:trHeight w:val="255"/>
          <w:jc w:val="center"/>
        </w:trPr>
        <w:tc>
          <w:tcPr>
            <w:tcW w:w="3805" w:type="dxa"/>
            <w:tcBorders>
              <w:top w:val="nil"/>
              <w:left w:val="double" w:sz="6" w:space="0" w:color="auto"/>
              <w:bottom w:val="single" w:sz="4" w:space="0" w:color="auto"/>
              <w:right w:val="nil"/>
            </w:tcBorders>
            <w:shd w:val="clear" w:color="auto" w:fill="auto"/>
            <w:noWrap/>
            <w:vAlign w:val="bottom"/>
          </w:tcPr>
          <w:p w:rsidR="00355687" w:rsidRPr="00DE3354" w:rsidRDefault="00355687" w:rsidP="00CF6359">
            <w:pPr>
              <w:spacing w:after="0" w:line="240" w:lineRule="auto"/>
              <w:rPr>
                <w:rFonts w:eastAsia="Times New Roman" w:cstheme="minorHAnsi"/>
                <w:lang w:eastAsia="hr-HR"/>
              </w:rPr>
            </w:pPr>
            <w:r w:rsidRPr="00DE3354">
              <w:rPr>
                <w:rFonts w:eastAsia="Times New Roman" w:cstheme="minorHAnsi"/>
                <w:lang w:eastAsia="hr-HR"/>
              </w:rPr>
              <w:t>Udio pozicije za pomoći za EU projekte</w:t>
            </w:r>
          </w:p>
        </w:tc>
        <w:tc>
          <w:tcPr>
            <w:tcW w:w="1860" w:type="dxa"/>
            <w:tcBorders>
              <w:top w:val="nil"/>
              <w:left w:val="double" w:sz="6" w:space="0" w:color="auto"/>
              <w:bottom w:val="single" w:sz="4" w:space="0" w:color="auto"/>
              <w:right w:val="double" w:sz="6" w:space="0" w:color="auto"/>
            </w:tcBorders>
            <w:shd w:val="clear" w:color="auto" w:fill="auto"/>
            <w:noWrap/>
            <w:vAlign w:val="center"/>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1,5</w:t>
            </w:r>
          </w:p>
        </w:tc>
        <w:tc>
          <w:tcPr>
            <w:tcW w:w="1860" w:type="dxa"/>
            <w:tcBorders>
              <w:top w:val="nil"/>
              <w:left w:val="single" w:sz="4" w:space="0" w:color="auto"/>
              <w:bottom w:val="single" w:sz="4" w:space="0" w:color="auto"/>
              <w:right w:val="double" w:sz="6" w:space="0" w:color="auto"/>
            </w:tcBorders>
            <w:shd w:val="clear" w:color="auto" w:fill="auto"/>
            <w:noWrap/>
            <w:vAlign w:val="bottom"/>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w:t>
            </w:r>
          </w:p>
        </w:tc>
      </w:tr>
      <w:tr w:rsidR="00355687" w:rsidRPr="00DE3354" w:rsidTr="00CF6359">
        <w:trPr>
          <w:trHeight w:val="270"/>
          <w:jc w:val="center"/>
        </w:trPr>
        <w:tc>
          <w:tcPr>
            <w:tcW w:w="3805" w:type="dxa"/>
            <w:tcBorders>
              <w:top w:val="single" w:sz="4" w:space="0" w:color="auto"/>
              <w:left w:val="double" w:sz="6" w:space="0" w:color="auto"/>
              <w:bottom w:val="double" w:sz="6" w:space="0" w:color="auto"/>
              <w:right w:val="nil"/>
            </w:tcBorders>
            <w:shd w:val="clear" w:color="auto" w:fill="auto"/>
            <w:noWrap/>
            <w:vAlign w:val="bottom"/>
          </w:tcPr>
          <w:p w:rsidR="00355687" w:rsidRPr="00DE3354" w:rsidRDefault="00355687" w:rsidP="00CF6359">
            <w:pPr>
              <w:spacing w:after="0" w:line="240" w:lineRule="auto"/>
              <w:rPr>
                <w:rFonts w:eastAsia="Times New Roman" w:cstheme="minorHAnsi"/>
                <w:lang w:eastAsia="hr-HR"/>
              </w:rPr>
            </w:pPr>
            <w:r w:rsidRPr="00DE3354">
              <w:rPr>
                <w:rFonts w:eastAsia="Times New Roman" w:cstheme="minorHAnsi"/>
                <w:lang w:eastAsia="hr-HR"/>
              </w:rPr>
              <w:t>Udio za fiskalno izravnanje</w:t>
            </w:r>
          </w:p>
        </w:tc>
        <w:tc>
          <w:tcPr>
            <w:tcW w:w="1860" w:type="dxa"/>
            <w:tcBorders>
              <w:top w:val="single" w:sz="4" w:space="0" w:color="auto"/>
              <w:left w:val="double" w:sz="6" w:space="0" w:color="auto"/>
              <w:bottom w:val="double" w:sz="6" w:space="0" w:color="auto"/>
              <w:right w:val="double" w:sz="6" w:space="0" w:color="auto"/>
            </w:tcBorders>
            <w:shd w:val="clear" w:color="auto" w:fill="auto"/>
            <w:noWrap/>
            <w:vAlign w:val="bottom"/>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w:t>
            </w:r>
          </w:p>
        </w:tc>
        <w:tc>
          <w:tcPr>
            <w:tcW w:w="1860" w:type="dxa"/>
            <w:tcBorders>
              <w:top w:val="single" w:sz="4" w:space="0" w:color="auto"/>
              <w:left w:val="single" w:sz="4" w:space="0" w:color="auto"/>
              <w:bottom w:val="double" w:sz="6" w:space="0" w:color="auto"/>
              <w:right w:val="double" w:sz="6" w:space="0" w:color="auto"/>
            </w:tcBorders>
            <w:shd w:val="clear" w:color="auto" w:fill="auto"/>
            <w:noWrap/>
            <w:vAlign w:val="center"/>
          </w:tcPr>
          <w:p w:rsidR="00355687" w:rsidRPr="00DE3354" w:rsidRDefault="00355687" w:rsidP="00CF6359">
            <w:pPr>
              <w:spacing w:after="0" w:line="240" w:lineRule="auto"/>
              <w:jc w:val="center"/>
              <w:rPr>
                <w:rFonts w:eastAsia="Times New Roman" w:cstheme="minorHAnsi"/>
                <w:lang w:eastAsia="hr-HR"/>
              </w:rPr>
            </w:pPr>
            <w:r w:rsidRPr="00DE3354">
              <w:rPr>
                <w:rFonts w:eastAsia="Times New Roman" w:cstheme="minorHAnsi"/>
                <w:lang w:eastAsia="hr-HR"/>
              </w:rPr>
              <w:t>17,0</w:t>
            </w:r>
          </w:p>
        </w:tc>
      </w:tr>
    </w:tbl>
    <w:p w:rsidR="00355687" w:rsidRPr="00DE3354" w:rsidRDefault="00355687" w:rsidP="00355687">
      <w:pPr>
        <w:spacing w:line="240" w:lineRule="auto"/>
        <w:jc w:val="both"/>
        <w:rPr>
          <w:rFonts w:cstheme="minorHAnsi"/>
        </w:rPr>
      </w:pPr>
    </w:p>
    <w:p w:rsidR="00355687" w:rsidRPr="00DE3354" w:rsidRDefault="00355687" w:rsidP="00355687">
      <w:pPr>
        <w:spacing w:line="240" w:lineRule="auto"/>
        <w:jc w:val="both"/>
        <w:rPr>
          <w:rFonts w:cstheme="minorHAnsi"/>
        </w:rPr>
      </w:pPr>
      <w:r w:rsidRPr="00DE3354">
        <w:rPr>
          <w:rFonts w:cstheme="minorHAnsi"/>
        </w:rPr>
        <w:t>Grad Zagreb je do 31.12.2017. izdvajao 16,0% pomoći izravnanja za decentralizirane funkcije i 1,5% pomoći za projekte sufinancirane iz sredstava EU – ukupno 17,5%. Od 01.01.2018. izdvaja se 17% za fiskalno izravnanje tako da se udio Grada Zagreba povećao sa 82,5% na 83% odnosno za 0,5%.</w:t>
      </w:r>
    </w:p>
    <w:p w:rsidR="00355687" w:rsidRPr="00DE3354" w:rsidRDefault="00355687" w:rsidP="00355687">
      <w:pPr>
        <w:spacing w:line="240" w:lineRule="auto"/>
        <w:jc w:val="both"/>
        <w:rPr>
          <w:rFonts w:cstheme="minorHAnsi"/>
          <w:i/>
          <w:color w:val="231F20"/>
        </w:rPr>
      </w:pPr>
      <w:r w:rsidRPr="00DE3354">
        <w:rPr>
          <w:rFonts w:cstheme="minorHAnsi"/>
          <w:i/>
          <w:color w:val="231F20"/>
        </w:rPr>
        <w:t>Od 1. siječnja 2018. naknada koja se plaća poreznoj upravi za utvrđivanje i naplatu poreza sadržana je u ukupno ostvarenim prihodima i plaća se po ispostavljenoj fakturi, dok je do 31.12.2017. ustezana prije raspoređivanja na račun proračuna.</w:t>
      </w:r>
    </w:p>
    <w:p w:rsidR="00355687" w:rsidRPr="00DE3354" w:rsidRDefault="00355687" w:rsidP="00355687">
      <w:pPr>
        <w:spacing w:line="240" w:lineRule="auto"/>
        <w:jc w:val="both"/>
        <w:rPr>
          <w:rFonts w:cstheme="minorHAnsi"/>
          <w:i/>
          <w:color w:val="231F20"/>
        </w:rPr>
      </w:pPr>
    </w:p>
    <w:p w:rsidR="00355687" w:rsidRPr="00DE3354" w:rsidRDefault="00355687" w:rsidP="00355687">
      <w:pPr>
        <w:spacing w:line="240" w:lineRule="auto"/>
        <w:jc w:val="both"/>
        <w:rPr>
          <w:rFonts w:cstheme="minorHAnsi"/>
          <w:b/>
          <w:color w:val="231F20"/>
        </w:rPr>
      </w:pPr>
      <w:r w:rsidRPr="00DE3354">
        <w:rPr>
          <w:rFonts w:cstheme="minorHAnsi"/>
          <w:b/>
          <w:color w:val="231F20"/>
        </w:rPr>
        <w:t>AOP 022</w:t>
      </w:r>
    </w:p>
    <w:p w:rsidR="00355687" w:rsidRPr="00DE3354" w:rsidRDefault="00355687" w:rsidP="00355687">
      <w:pPr>
        <w:spacing w:line="240" w:lineRule="auto"/>
        <w:jc w:val="both"/>
        <w:rPr>
          <w:rFonts w:cstheme="minorHAnsi"/>
          <w:i/>
          <w:color w:val="231F20"/>
        </w:rPr>
      </w:pPr>
      <w:r w:rsidRPr="00DE3354">
        <w:rPr>
          <w:rFonts w:cstheme="minorHAnsi"/>
          <w:i/>
          <w:color w:val="231F20"/>
        </w:rPr>
        <w:t xml:space="preserve">Povremeni porezi na imovinu </w:t>
      </w:r>
    </w:p>
    <w:p w:rsidR="00355687" w:rsidRPr="00DE3354" w:rsidRDefault="00355687" w:rsidP="00355687">
      <w:pPr>
        <w:spacing w:line="240" w:lineRule="auto"/>
        <w:jc w:val="both"/>
        <w:rPr>
          <w:rFonts w:cstheme="minorHAnsi"/>
          <w:color w:val="231F20"/>
        </w:rPr>
      </w:pPr>
      <w:r w:rsidRPr="00DE3354">
        <w:rPr>
          <w:rFonts w:cstheme="minorHAnsi"/>
          <w:color w:val="231F20"/>
        </w:rPr>
        <w:t xml:space="preserve">Povremeni porezi na imovinu odnose se na porez na promet nekretnina. Porez na promet nekretnina regulira Zakon o porezu na promet nekretnina (Narodne novine 115/16) koji se primjenjuje od 1. siječnja 2017., a kojim je propisana porezna stopa od 4% (umjesto dosadašnjih 5%). Gradu Zagrebu prihod pripada u cjelosti (umjesto dotadašnjih 80%). Rastu prihoda od poreza pogodovao je oporavak tržišta nekretninama, posebice zbog  subvencioniranja stambenih kredita za kupnju prve nekretnine, ali i uvođenje poreza za kupnju prve nekretnine. </w:t>
      </w:r>
    </w:p>
    <w:p w:rsidR="00355687" w:rsidRPr="00DE3354" w:rsidRDefault="00355687" w:rsidP="00355687">
      <w:pPr>
        <w:spacing w:line="240" w:lineRule="auto"/>
        <w:jc w:val="both"/>
        <w:rPr>
          <w:rFonts w:cstheme="minorHAnsi"/>
          <w:i/>
          <w:color w:val="231F20"/>
        </w:rPr>
      </w:pPr>
    </w:p>
    <w:p w:rsidR="00355687" w:rsidRPr="00DE3354" w:rsidRDefault="00355687" w:rsidP="00355687">
      <w:pPr>
        <w:spacing w:line="240" w:lineRule="auto"/>
        <w:jc w:val="both"/>
        <w:rPr>
          <w:rFonts w:cstheme="minorHAnsi"/>
          <w:b/>
          <w:color w:val="231F20"/>
        </w:rPr>
      </w:pPr>
      <w:r w:rsidRPr="00DE3354">
        <w:rPr>
          <w:rFonts w:cstheme="minorHAnsi"/>
          <w:b/>
          <w:color w:val="231F20"/>
        </w:rPr>
        <w:t>AOP 028</w:t>
      </w:r>
    </w:p>
    <w:p w:rsidR="00355687" w:rsidRPr="00DE3354" w:rsidRDefault="00355687" w:rsidP="00355687">
      <w:pPr>
        <w:spacing w:line="240" w:lineRule="auto"/>
        <w:jc w:val="both"/>
        <w:rPr>
          <w:rFonts w:cstheme="minorHAnsi"/>
          <w:i/>
          <w:color w:val="231F20"/>
        </w:rPr>
      </w:pPr>
      <w:r w:rsidRPr="00DE3354">
        <w:rPr>
          <w:rFonts w:cstheme="minorHAnsi"/>
          <w:i/>
          <w:color w:val="231F20"/>
        </w:rPr>
        <w:t xml:space="preserve">Porezi na korištenje dobara ili izvođenje aktivnosti </w:t>
      </w:r>
    </w:p>
    <w:p w:rsidR="00355687" w:rsidRPr="00DE3354" w:rsidRDefault="00355687" w:rsidP="00355687">
      <w:pPr>
        <w:spacing w:line="240" w:lineRule="auto"/>
        <w:jc w:val="both"/>
        <w:rPr>
          <w:rFonts w:cstheme="minorHAnsi"/>
          <w:color w:val="231F20"/>
        </w:rPr>
      </w:pPr>
      <w:r w:rsidRPr="00DE3354">
        <w:rPr>
          <w:rFonts w:cstheme="minorHAnsi"/>
          <w:color w:val="231F20"/>
        </w:rPr>
        <w:t>Porezi na korištenje dobara ili izvođenje aktivnosti obuhvaća porez na cestovna motorna vozila koji se plaća pri registraciji motornih vozila i porez na tvrtku odnosno</w:t>
      </w:r>
      <w:r w:rsidRPr="00DE3354">
        <w:rPr>
          <w:rFonts w:cstheme="minorHAnsi"/>
          <w:b/>
          <w:color w:val="231F20"/>
        </w:rPr>
        <w:t xml:space="preserve"> </w:t>
      </w:r>
      <w:r w:rsidRPr="00DE3354">
        <w:rPr>
          <w:rFonts w:cstheme="minorHAnsi"/>
          <w:color w:val="231F20"/>
        </w:rPr>
        <w:t>naziv.</w:t>
      </w:r>
    </w:p>
    <w:p w:rsidR="00355687" w:rsidRPr="00DE3354" w:rsidRDefault="00355687" w:rsidP="00355687">
      <w:pPr>
        <w:spacing w:line="240" w:lineRule="auto"/>
        <w:jc w:val="both"/>
        <w:rPr>
          <w:rFonts w:cstheme="minorHAnsi"/>
        </w:rPr>
      </w:pPr>
      <w:r w:rsidRPr="00DE3354">
        <w:rPr>
          <w:rFonts w:cstheme="minorHAnsi"/>
        </w:rPr>
        <w:t>Zakonom o izmjenama Zakona o lokalnim porezima (Narodne novine 101/17) izmijenjene su odredbe u vezi s porezom na cestovna motorna vozila tako da se od 01.01.2018. ne plaća porez na cestovna motorna vozila za motocikle te lake četverocikle i četverocikle starije od 10 godina. Porez na tvrtku odnosno naziv je još ranije ukinut, a dio koji se još naplati odnosi se na potraživanja iz ranijih godina.</w:t>
      </w:r>
    </w:p>
    <w:p w:rsidR="00355687" w:rsidRPr="00DE3354" w:rsidRDefault="00355687" w:rsidP="00355687">
      <w:pPr>
        <w:spacing w:line="240" w:lineRule="auto"/>
        <w:jc w:val="both"/>
        <w:rPr>
          <w:rFonts w:cstheme="minorHAnsi"/>
          <w:b/>
        </w:rPr>
      </w:pPr>
    </w:p>
    <w:p w:rsidR="00DE3354" w:rsidRDefault="00DE3354" w:rsidP="00355687">
      <w:pPr>
        <w:spacing w:line="240" w:lineRule="auto"/>
        <w:jc w:val="both"/>
        <w:rPr>
          <w:rFonts w:cstheme="minorHAnsi"/>
          <w:b/>
        </w:rPr>
      </w:pPr>
    </w:p>
    <w:p w:rsidR="00DE3354" w:rsidRDefault="00DE3354" w:rsidP="00355687">
      <w:pPr>
        <w:spacing w:line="240" w:lineRule="auto"/>
        <w:jc w:val="both"/>
        <w:rPr>
          <w:rFonts w:cstheme="minorHAnsi"/>
          <w:b/>
        </w:rPr>
      </w:pPr>
    </w:p>
    <w:p w:rsidR="00355687" w:rsidRPr="00DE3354" w:rsidRDefault="00355687" w:rsidP="00355687">
      <w:pPr>
        <w:spacing w:line="240" w:lineRule="auto"/>
        <w:jc w:val="both"/>
        <w:rPr>
          <w:rFonts w:cstheme="minorHAnsi"/>
          <w:b/>
        </w:rPr>
      </w:pPr>
      <w:r w:rsidRPr="00DE3354">
        <w:rPr>
          <w:rFonts w:cstheme="minorHAnsi"/>
          <w:b/>
        </w:rPr>
        <w:lastRenderedPageBreak/>
        <w:t>AOP 052</w:t>
      </w:r>
    </w:p>
    <w:p w:rsidR="00355687" w:rsidRPr="00DE3354" w:rsidRDefault="00355687" w:rsidP="00355687">
      <w:pPr>
        <w:spacing w:line="240" w:lineRule="auto"/>
        <w:jc w:val="both"/>
        <w:rPr>
          <w:rFonts w:cstheme="minorHAnsi"/>
          <w:i/>
        </w:rPr>
      </w:pPr>
      <w:r w:rsidRPr="00DE3354">
        <w:rPr>
          <w:rFonts w:cstheme="minorHAnsi"/>
          <w:i/>
        </w:rPr>
        <w:t>Pomoći od međunarodnih organizacija te institucija i tijela EU</w:t>
      </w:r>
    </w:p>
    <w:p w:rsidR="00355687" w:rsidRPr="00DE3354" w:rsidRDefault="00355687" w:rsidP="00355687">
      <w:pPr>
        <w:spacing w:line="240" w:lineRule="auto"/>
        <w:jc w:val="both"/>
        <w:rPr>
          <w:rFonts w:cstheme="minorHAnsi"/>
        </w:rPr>
      </w:pPr>
      <w:r w:rsidRPr="00DE3354">
        <w:rPr>
          <w:rFonts w:cstheme="minorHAnsi"/>
        </w:rPr>
        <w:t xml:space="preserve">U 2018. je sredstvima od institucija i tijela EU financirano više projekata: Republeec u iznosu od 2.588.700,02 kune, Together u iznosu 933.559,49 kuna, Zagee u iznosu od 701.842,27 kuna, ProGireg u iznosu od 223.886,85 kuna i niz drugih manjih projekata.  </w:t>
      </w:r>
    </w:p>
    <w:p w:rsidR="00355687" w:rsidRPr="00DE3354" w:rsidRDefault="00355687" w:rsidP="00355687">
      <w:pPr>
        <w:spacing w:line="240" w:lineRule="auto"/>
        <w:jc w:val="both"/>
        <w:rPr>
          <w:rFonts w:cstheme="minorHAnsi"/>
        </w:rPr>
      </w:pPr>
    </w:p>
    <w:p w:rsidR="00355687" w:rsidRPr="00DE3354" w:rsidRDefault="00355687" w:rsidP="00355687">
      <w:pPr>
        <w:spacing w:line="240" w:lineRule="auto"/>
        <w:jc w:val="both"/>
        <w:rPr>
          <w:rFonts w:cstheme="minorHAnsi"/>
        </w:rPr>
      </w:pPr>
      <w:r w:rsidRPr="00DE3354">
        <w:rPr>
          <w:rFonts w:cstheme="minorHAnsi"/>
          <w:b/>
        </w:rPr>
        <w:t>AOP 055</w:t>
      </w:r>
    </w:p>
    <w:p w:rsidR="00355687" w:rsidRPr="00DE3354" w:rsidRDefault="00355687" w:rsidP="00355687">
      <w:pPr>
        <w:spacing w:line="240" w:lineRule="auto"/>
        <w:jc w:val="both"/>
        <w:rPr>
          <w:rFonts w:cstheme="minorHAnsi"/>
          <w:i/>
        </w:rPr>
      </w:pPr>
      <w:r w:rsidRPr="00DE3354">
        <w:rPr>
          <w:rFonts w:cstheme="minorHAnsi"/>
          <w:i/>
        </w:rPr>
        <w:t>Tekuće pomoći proračunu iz drugih proračuna</w:t>
      </w:r>
    </w:p>
    <w:p w:rsidR="00355687" w:rsidRPr="00DE3354" w:rsidRDefault="00355687" w:rsidP="00355687">
      <w:pPr>
        <w:spacing w:line="240" w:lineRule="auto"/>
        <w:jc w:val="both"/>
        <w:rPr>
          <w:rFonts w:cstheme="minorHAnsi"/>
        </w:rPr>
      </w:pPr>
      <w:r w:rsidRPr="00DE3354">
        <w:rPr>
          <w:rFonts w:cstheme="minorHAnsi"/>
        </w:rPr>
        <w:t>Zakonom o porezu na dohodak (NN 115/16) koji se primjenjuje od 1. siječnja 2017.  jedinice lokalne i područne (regionalne) samouprave izgubile su dio prihoda od poreza na dohodak. Kako bi se kompenzirao taj manjak, Zakonom o izvršavanju Državnog proračuna Republike Hrvatske za 2017. (NN119/16) bilo je utvrđeno da će se jedinicama lokalne i područne (regionalne) samouprave tijekom 2017. iz Proračuna  isplaćivati pomoć u visini razlike između prihoda od poreza na dohodak koji su ostvarivali tijekom 2016. i prihoda od poreza na dohodak koji ostvaruju tijekom 2017.  Po toj osnovi je Gradu doznačeno 198.023.649,85 kuna pomoći za manje ostvareni dohodak.</w:t>
      </w:r>
    </w:p>
    <w:p w:rsidR="00355687" w:rsidRPr="00DE3354" w:rsidRDefault="00355687" w:rsidP="00355687">
      <w:pPr>
        <w:spacing w:line="240" w:lineRule="auto"/>
        <w:jc w:val="both"/>
        <w:rPr>
          <w:rFonts w:cstheme="minorHAnsi"/>
          <w:i/>
          <w:color w:val="231F20"/>
        </w:rPr>
      </w:pPr>
      <w:r w:rsidRPr="00DE3354">
        <w:rPr>
          <w:rFonts w:cstheme="minorHAnsi"/>
        </w:rPr>
        <w:t>Zakonom o financiranju jedinica lokalne i područne (regionalne) samouprave (Narodne novine 127/17) koji se primjenjuje od 1. siječnja 2018. utvrđeno je da će se jedi</w:t>
      </w:r>
      <w:r w:rsidRPr="00DE3354">
        <w:rPr>
          <w:rFonts w:cstheme="minorHAnsi"/>
          <w:i/>
          <w:color w:val="231F20"/>
        </w:rPr>
        <w:t>nicama lokalne i područne (regionalne) samouprave i  tijekom 2018. godine iz državnog proračuna isplaćivati pomoć u visini razlike između zbroja prihoda od poreza na dohodak i prireza ostvarenih u 2017. godini i prihoda od pomoći koji su u 2017. godini ostvareni u skladu s odredbama Zakona o izvršavanju Državnog proračuna Republike Hrvatske za 2017. godinu („Narodne novine“ br. 119/16. i 113/17.) te prihoda od poreza na dohodak i prireza koji će se ostvarivati tijekom 2018. godine.Temeljem ove odredbe, Grad nije ostvario pomoć za 2018. Iznos ostvaren u 2018. odnosi se na pomoć za prosinac 2017.</w:t>
      </w:r>
    </w:p>
    <w:p w:rsidR="00DE3354" w:rsidRDefault="00DE3354" w:rsidP="00355687">
      <w:pPr>
        <w:spacing w:line="240" w:lineRule="auto"/>
        <w:jc w:val="both"/>
        <w:rPr>
          <w:rFonts w:cstheme="minorHAnsi"/>
          <w:i/>
          <w:color w:val="231F20"/>
        </w:rPr>
      </w:pPr>
    </w:p>
    <w:p w:rsidR="00355687" w:rsidRPr="00DE3354" w:rsidRDefault="00355687" w:rsidP="00355687">
      <w:pPr>
        <w:spacing w:line="240" w:lineRule="auto"/>
        <w:jc w:val="both"/>
        <w:rPr>
          <w:rFonts w:cstheme="minorHAnsi"/>
          <w:b/>
          <w:color w:val="231F20"/>
        </w:rPr>
      </w:pPr>
      <w:r w:rsidRPr="00DE3354">
        <w:rPr>
          <w:rFonts w:cstheme="minorHAnsi"/>
          <w:b/>
          <w:color w:val="231F20"/>
        </w:rPr>
        <w:t>AOP 057</w:t>
      </w:r>
    </w:p>
    <w:p w:rsidR="00355687" w:rsidRPr="00DE3354" w:rsidRDefault="00355687" w:rsidP="00355687">
      <w:pPr>
        <w:spacing w:line="240" w:lineRule="auto"/>
        <w:jc w:val="both"/>
        <w:rPr>
          <w:rFonts w:cstheme="minorHAnsi"/>
          <w:i/>
          <w:color w:val="231F20"/>
        </w:rPr>
      </w:pPr>
      <w:r w:rsidRPr="00DE3354">
        <w:rPr>
          <w:rFonts w:cstheme="minorHAnsi"/>
          <w:i/>
          <w:color w:val="231F20"/>
        </w:rPr>
        <w:t>Pomoći od izvanproračunskih korisnika</w:t>
      </w:r>
    </w:p>
    <w:p w:rsidR="00355687" w:rsidRPr="00DE3354" w:rsidRDefault="00355687" w:rsidP="00355687">
      <w:pPr>
        <w:spacing w:line="240" w:lineRule="auto"/>
        <w:jc w:val="both"/>
        <w:rPr>
          <w:rFonts w:cstheme="minorHAnsi"/>
          <w:color w:val="231F20"/>
        </w:rPr>
      </w:pPr>
      <w:r w:rsidRPr="00DE3354">
        <w:rPr>
          <w:rFonts w:cstheme="minorHAnsi"/>
          <w:color w:val="231F20"/>
        </w:rPr>
        <w:t>Tekuće pomoći HZZ-a za volontere u 2018. ostvarene su u manjem iznosu nego u 2017.</w:t>
      </w:r>
    </w:p>
    <w:p w:rsidR="00355687" w:rsidRPr="00DE3354" w:rsidRDefault="00355687" w:rsidP="00355687">
      <w:pPr>
        <w:spacing w:line="240" w:lineRule="auto"/>
        <w:jc w:val="both"/>
        <w:rPr>
          <w:rFonts w:cstheme="minorHAnsi"/>
          <w:color w:val="231F20"/>
        </w:rPr>
      </w:pPr>
      <w:r w:rsidRPr="00DE3354">
        <w:rPr>
          <w:rFonts w:cstheme="minorHAnsi"/>
          <w:color w:val="231F20"/>
        </w:rPr>
        <w:t>Kapitalne pomoći ostvarene su manje nego prethodne godine, jer su u prethodnoj godini od strane Fonda za zaštitu okoliša i energetsku učinkovitost doznačena sredstva za sufinanciranje projekata trgovačkih društava te završni dio projekta ZAGEE – energetska obnova.</w:t>
      </w:r>
    </w:p>
    <w:p w:rsidR="00355687" w:rsidRPr="00DE3354" w:rsidRDefault="00355687" w:rsidP="00355687">
      <w:pPr>
        <w:spacing w:line="240" w:lineRule="auto"/>
        <w:jc w:val="both"/>
        <w:rPr>
          <w:rFonts w:cstheme="minorHAnsi"/>
          <w:i/>
          <w:color w:val="231F20"/>
        </w:rPr>
      </w:pPr>
    </w:p>
    <w:p w:rsidR="00355687" w:rsidRPr="00DE3354" w:rsidRDefault="00355687" w:rsidP="00355687">
      <w:pPr>
        <w:spacing w:line="240" w:lineRule="auto"/>
        <w:jc w:val="both"/>
        <w:rPr>
          <w:rFonts w:cstheme="minorHAnsi"/>
          <w:b/>
          <w:color w:val="231F20"/>
        </w:rPr>
      </w:pPr>
      <w:r w:rsidRPr="00DE3354">
        <w:rPr>
          <w:rFonts w:cstheme="minorHAnsi"/>
          <w:b/>
          <w:color w:val="231F20"/>
        </w:rPr>
        <w:t>AOP 066</w:t>
      </w:r>
    </w:p>
    <w:p w:rsidR="00355687" w:rsidRPr="00DE3354" w:rsidRDefault="00355687" w:rsidP="00355687">
      <w:pPr>
        <w:spacing w:line="240" w:lineRule="auto"/>
        <w:jc w:val="both"/>
        <w:rPr>
          <w:rFonts w:cstheme="minorHAnsi"/>
          <w:i/>
          <w:color w:val="231F20"/>
        </w:rPr>
      </w:pPr>
      <w:r w:rsidRPr="00DE3354">
        <w:rPr>
          <w:rFonts w:cstheme="minorHAnsi"/>
          <w:i/>
          <w:color w:val="231F20"/>
        </w:rPr>
        <w:t>Pomoći temeljem prijenosa EU sredstava</w:t>
      </w:r>
    </w:p>
    <w:p w:rsidR="00355687" w:rsidRPr="00DE3354" w:rsidRDefault="00355687" w:rsidP="00355687">
      <w:pPr>
        <w:spacing w:line="240" w:lineRule="auto"/>
        <w:jc w:val="both"/>
        <w:rPr>
          <w:rFonts w:cstheme="minorHAnsi"/>
          <w:color w:val="231F20"/>
        </w:rPr>
      </w:pPr>
      <w:r w:rsidRPr="00DE3354">
        <w:rPr>
          <w:rFonts w:cstheme="minorHAnsi"/>
          <w:color w:val="231F20"/>
        </w:rPr>
        <w:t>Tekuće pomoći temeljem prijenosa EU sredstava ostvarene su više nego prethodne godine radi više sredstava za projekte pomoćnika u nastavi.</w:t>
      </w:r>
    </w:p>
    <w:p w:rsidR="00355687" w:rsidRPr="00DE3354" w:rsidRDefault="00355687" w:rsidP="00355687">
      <w:pPr>
        <w:spacing w:line="240" w:lineRule="auto"/>
        <w:jc w:val="both"/>
        <w:rPr>
          <w:rFonts w:cstheme="minorHAnsi"/>
          <w:color w:val="231F20"/>
        </w:rPr>
      </w:pPr>
      <w:r w:rsidRPr="00DE3354">
        <w:rPr>
          <w:rFonts w:cstheme="minorHAnsi"/>
          <w:color w:val="231F20"/>
        </w:rPr>
        <w:t xml:space="preserve">Kapitalne pomoći temeljem prijenosa EU sredstava ostvarene su više nego u prethodnoj godini, jer su iz europskih fondova doznačena veća sredstva za financiranje projekta ZagEE u iznosu od 15.827.507,69 kuna. </w:t>
      </w:r>
    </w:p>
    <w:p w:rsidR="00355687" w:rsidRPr="00DE3354" w:rsidRDefault="00355687" w:rsidP="00355687">
      <w:pPr>
        <w:spacing w:line="240" w:lineRule="auto"/>
        <w:jc w:val="both"/>
        <w:rPr>
          <w:rFonts w:cstheme="minorHAnsi"/>
          <w:color w:val="231F20"/>
        </w:rPr>
      </w:pPr>
    </w:p>
    <w:p w:rsidR="00DE3354" w:rsidRDefault="00DE3354" w:rsidP="00355687">
      <w:pPr>
        <w:spacing w:line="240" w:lineRule="auto"/>
        <w:jc w:val="both"/>
        <w:rPr>
          <w:rFonts w:cstheme="minorHAnsi"/>
          <w:b/>
          <w:i/>
          <w:color w:val="231F20"/>
        </w:rPr>
      </w:pPr>
    </w:p>
    <w:p w:rsidR="00355687" w:rsidRPr="00DE3354" w:rsidRDefault="00355687" w:rsidP="00355687">
      <w:pPr>
        <w:spacing w:line="240" w:lineRule="auto"/>
        <w:jc w:val="both"/>
        <w:rPr>
          <w:rFonts w:cstheme="minorHAnsi"/>
          <w:b/>
          <w:color w:val="231F20"/>
        </w:rPr>
      </w:pPr>
      <w:r w:rsidRPr="00DE3354">
        <w:rPr>
          <w:rFonts w:cstheme="minorHAnsi"/>
          <w:b/>
          <w:color w:val="231F20"/>
        </w:rPr>
        <w:lastRenderedPageBreak/>
        <w:t>AOP 078</w:t>
      </w:r>
    </w:p>
    <w:p w:rsidR="00355687" w:rsidRPr="00DE3354" w:rsidRDefault="00355687" w:rsidP="00355687">
      <w:pPr>
        <w:jc w:val="both"/>
        <w:rPr>
          <w:rFonts w:cstheme="minorHAnsi"/>
        </w:rPr>
      </w:pPr>
      <w:r w:rsidRPr="00DE3354">
        <w:rPr>
          <w:rFonts w:cstheme="minorHAnsi"/>
          <w:i/>
          <w:color w:val="231F20"/>
        </w:rPr>
        <w:t>Prihodi od zateznih kamata</w:t>
      </w:r>
      <w:r w:rsidRPr="00DE3354">
        <w:rPr>
          <w:rFonts w:cstheme="minorHAnsi"/>
        </w:rPr>
        <w:t xml:space="preserve"> </w:t>
      </w:r>
    </w:p>
    <w:p w:rsidR="00355687" w:rsidRPr="00DE3354" w:rsidRDefault="00355687" w:rsidP="00355687">
      <w:pPr>
        <w:jc w:val="both"/>
        <w:rPr>
          <w:rFonts w:cstheme="minorHAnsi"/>
          <w:i/>
        </w:rPr>
      </w:pPr>
      <w:r w:rsidRPr="00DE3354">
        <w:rPr>
          <w:rFonts w:cstheme="minorHAnsi"/>
        </w:rPr>
        <w:t xml:space="preserve">Grad Zagreb je tijekom 2008., 2009., 2010., i 2011. postupajući po zahtjevu Ministarstva financija uplatio, bez pravne osnove, u korist Državnog proračuna ukupan iznos od 205.905.007,93 kune. Kako je zahtjev za mirno rješenje odbijen, Grad Zagreb je  povrat uplaćenog iznosa zatražio u postupku </w:t>
      </w:r>
      <w:r w:rsidRPr="00DE3354">
        <w:rPr>
          <w:rFonts w:cstheme="minorHAnsi"/>
          <w:i/>
        </w:rPr>
        <w:t>pred sudom.</w:t>
      </w:r>
    </w:p>
    <w:p w:rsidR="00355687" w:rsidRPr="00DE3354" w:rsidRDefault="00355687" w:rsidP="00355687">
      <w:pPr>
        <w:jc w:val="both"/>
        <w:rPr>
          <w:rFonts w:cstheme="minorHAnsi"/>
        </w:rPr>
      </w:pPr>
      <w:r w:rsidRPr="00DE3354">
        <w:rPr>
          <w:rFonts w:cstheme="minorHAnsi"/>
        </w:rPr>
        <w:t>Presudom Trgovačkog suda u Zagrebu posl. Broj P-2911/2013 od  18. prosinca 2015. naloženo je tuženiku Republici Hrvatskoj platiti tužitelju Gradu Zagrebu iznos od 205.905.007,93 kune sa pripadajućim zakonskim zateznim kamatama. Na navedenu presudu Republika Hrvatska je uložila žalbu pred Visokom trgovačkim sudom u Zagrebu koja je u tijeku.</w:t>
      </w:r>
    </w:p>
    <w:p w:rsidR="00355687" w:rsidRPr="00DE3354" w:rsidRDefault="00355687" w:rsidP="00355687">
      <w:pPr>
        <w:jc w:val="both"/>
        <w:rPr>
          <w:rFonts w:cstheme="minorHAnsi"/>
        </w:rPr>
      </w:pPr>
      <w:r w:rsidRPr="00DE3354">
        <w:rPr>
          <w:rFonts w:cstheme="minorHAnsi"/>
        </w:rPr>
        <w:t>Radi izbjegavanja eventualnih daljnjih troškova, Grad Zagreb i Republika Hrvatska sklopile su nagodbu prema kojoj je Republika Hrvatska, pored glavnice, isplatila Gradu Zagrebu  i 63.000.000,00 kune na ime zakonskih zateznih kamata.</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079</w:t>
      </w:r>
    </w:p>
    <w:p w:rsidR="00355687" w:rsidRPr="00DE3354" w:rsidRDefault="00355687" w:rsidP="00355687">
      <w:pPr>
        <w:jc w:val="both"/>
        <w:rPr>
          <w:rFonts w:cstheme="minorHAnsi"/>
          <w:i/>
        </w:rPr>
      </w:pPr>
      <w:r w:rsidRPr="00DE3354">
        <w:rPr>
          <w:rFonts w:cstheme="minorHAnsi"/>
          <w:i/>
        </w:rPr>
        <w:t>Prihodi od pozitivnih tečajnih razlika i razlika zbog primjene valutne klauzule</w:t>
      </w:r>
    </w:p>
    <w:p w:rsidR="00355687" w:rsidRPr="00DE3354" w:rsidRDefault="00355687" w:rsidP="00355687">
      <w:pPr>
        <w:jc w:val="both"/>
        <w:rPr>
          <w:rFonts w:cstheme="minorHAnsi"/>
        </w:rPr>
      </w:pPr>
      <w:r w:rsidRPr="00DE3354">
        <w:rPr>
          <w:rFonts w:cstheme="minorHAnsi"/>
        </w:rPr>
        <w:t>Pozitivna tečajna razlika ostvarena je otplatom dugoročnog kredita Zagrebačke banke d.d. uz valutnu klauzulu u EUR u iznosu od 150.000.000,00 kuna iz 2013. zbog promjene valutnog tečaja.</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081</w:t>
      </w:r>
    </w:p>
    <w:p w:rsidR="00355687" w:rsidRPr="00DE3354" w:rsidRDefault="00355687" w:rsidP="00355687">
      <w:pPr>
        <w:jc w:val="both"/>
        <w:rPr>
          <w:rFonts w:cstheme="minorHAnsi"/>
          <w:i/>
        </w:rPr>
      </w:pPr>
      <w:r w:rsidRPr="00DE3354">
        <w:rPr>
          <w:rFonts w:cstheme="minorHAnsi"/>
          <w:i/>
        </w:rPr>
        <w:t>Prihodi iz dobiti trgovačkih društava, kreditnih i ostalih financijskih institucija po posebnim propisima</w:t>
      </w:r>
    </w:p>
    <w:p w:rsidR="00355687" w:rsidRPr="00DE3354" w:rsidRDefault="00355687" w:rsidP="00355687">
      <w:pPr>
        <w:jc w:val="both"/>
        <w:rPr>
          <w:rFonts w:cstheme="minorHAnsi"/>
        </w:rPr>
      </w:pPr>
      <w:r w:rsidRPr="00DE3354">
        <w:rPr>
          <w:rFonts w:cstheme="minorHAnsi"/>
        </w:rPr>
        <w:t>Prihodi iz dobiti trgovačkih društava odnose se na uplatu s osnove dobiti trgovačkih društava za 2017. prema odlukama Skupštine trgovačkih društava i to: Apis IT u iznosu od 1.626.689,82 kuna i Zračna luka u iznosu od 906.453,48 kuna.</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084</w:t>
      </w:r>
    </w:p>
    <w:p w:rsidR="00355687" w:rsidRPr="00DE3354" w:rsidRDefault="00355687" w:rsidP="00355687">
      <w:pPr>
        <w:jc w:val="both"/>
        <w:rPr>
          <w:rFonts w:cstheme="minorHAnsi"/>
          <w:i/>
        </w:rPr>
      </w:pPr>
      <w:r w:rsidRPr="00DE3354">
        <w:rPr>
          <w:rFonts w:cstheme="minorHAnsi"/>
          <w:i/>
        </w:rPr>
        <w:t>Naknade za koncesije</w:t>
      </w:r>
    </w:p>
    <w:p w:rsidR="00355687" w:rsidRPr="00DE3354" w:rsidRDefault="00355687" w:rsidP="00355687">
      <w:pPr>
        <w:jc w:val="both"/>
        <w:rPr>
          <w:rFonts w:cstheme="minorHAnsi"/>
        </w:rPr>
      </w:pPr>
      <w:r w:rsidRPr="00DE3354">
        <w:rPr>
          <w:rFonts w:cstheme="minorHAnsi"/>
        </w:rPr>
        <w:t>Naknade za koncesije čine naknade za: obavljanje javne zdravstvene službe, izgradnju i upravljanje zračnom lukom,  gospodarsko korištenje voda, distribuciju plina, distribuciju toplinske energije, obavljanje dimnjačarskih usluga, pružanje javne usluge čišćenja septičkih i sabirnih jama i korištenje slobodne zone. Vrijednosno najznačajnija koncesija za izgradnju i upravljanje zračnom lukom uplaćuje se tromjesečno i u prethodnoj je godini uplaćena naknada za zadnje tromjesečje 2016. i cijelu 2017. dok je naknada za zadnje tromjesečje 2018. uplaćena početkom iduće godine.</w:t>
      </w:r>
    </w:p>
    <w:p w:rsidR="00355687" w:rsidRPr="00DE3354" w:rsidRDefault="00355687" w:rsidP="00355687">
      <w:pPr>
        <w:spacing w:after="0" w:line="240" w:lineRule="auto"/>
        <w:jc w:val="both"/>
        <w:rPr>
          <w:rFonts w:eastAsia="Times New Roman" w:cstheme="minorHAnsi"/>
          <w:b/>
          <w:lang w:eastAsia="hr-HR"/>
        </w:rPr>
      </w:pPr>
    </w:p>
    <w:p w:rsidR="00DE3354" w:rsidRDefault="00DE3354" w:rsidP="00355687">
      <w:pPr>
        <w:spacing w:after="0" w:line="240" w:lineRule="auto"/>
        <w:jc w:val="both"/>
        <w:rPr>
          <w:rFonts w:eastAsia="Times New Roman" w:cstheme="minorHAnsi"/>
          <w:b/>
          <w:lang w:eastAsia="hr-HR"/>
        </w:rPr>
      </w:pPr>
    </w:p>
    <w:p w:rsidR="00DE3354" w:rsidRDefault="00DE3354" w:rsidP="00355687">
      <w:pPr>
        <w:spacing w:after="0" w:line="240" w:lineRule="auto"/>
        <w:jc w:val="both"/>
        <w:rPr>
          <w:rFonts w:eastAsia="Times New Roman" w:cstheme="minorHAnsi"/>
          <w:b/>
          <w:lang w:eastAsia="hr-HR"/>
        </w:rPr>
      </w:pPr>
    </w:p>
    <w:p w:rsidR="00DE3354" w:rsidRDefault="00DE3354" w:rsidP="00355687">
      <w:pPr>
        <w:spacing w:after="0" w:line="240" w:lineRule="auto"/>
        <w:jc w:val="both"/>
        <w:rPr>
          <w:rFonts w:eastAsia="Times New Roman" w:cstheme="minorHAnsi"/>
          <w:b/>
          <w:lang w:eastAsia="hr-HR"/>
        </w:rPr>
      </w:pPr>
    </w:p>
    <w:p w:rsidR="00DE3354" w:rsidRDefault="00DE3354" w:rsidP="00355687">
      <w:pPr>
        <w:spacing w:after="0" w:line="240" w:lineRule="auto"/>
        <w:jc w:val="both"/>
        <w:rPr>
          <w:rFonts w:eastAsia="Times New Roman" w:cstheme="minorHAnsi"/>
          <w:b/>
          <w:lang w:eastAsia="hr-HR"/>
        </w:rPr>
      </w:pPr>
    </w:p>
    <w:p w:rsidR="00DE3354" w:rsidRDefault="00DE3354" w:rsidP="00355687">
      <w:pPr>
        <w:spacing w:after="0" w:line="240" w:lineRule="auto"/>
        <w:jc w:val="both"/>
        <w:rPr>
          <w:rFonts w:eastAsia="Times New Roman" w:cstheme="minorHAnsi"/>
          <w:b/>
          <w:lang w:eastAsia="hr-HR"/>
        </w:rPr>
      </w:pPr>
    </w:p>
    <w:p w:rsidR="00355687" w:rsidRPr="00DE3354" w:rsidRDefault="00355687" w:rsidP="00355687">
      <w:pPr>
        <w:spacing w:after="0" w:line="240" w:lineRule="auto"/>
        <w:jc w:val="both"/>
        <w:rPr>
          <w:rFonts w:eastAsia="Times New Roman" w:cstheme="minorHAnsi"/>
          <w:b/>
          <w:lang w:eastAsia="hr-HR"/>
        </w:rPr>
      </w:pPr>
      <w:r w:rsidRPr="00DE3354">
        <w:rPr>
          <w:rFonts w:eastAsia="Times New Roman" w:cstheme="minorHAnsi"/>
          <w:b/>
          <w:lang w:eastAsia="hr-HR"/>
        </w:rPr>
        <w:lastRenderedPageBreak/>
        <w:t>AOP 089</w:t>
      </w:r>
    </w:p>
    <w:p w:rsidR="00355687" w:rsidRPr="00DE3354" w:rsidRDefault="00355687" w:rsidP="00355687">
      <w:pPr>
        <w:spacing w:after="0" w:line="240" w:lineRule="auto"/>
        <w:jc w:val="both"/>
        <w:rPr>
          <w:rFonts w:eastAsia="Times New Roman" w:cstheme="minorHAnsi"/>
          <w:lang w:eastAsia="hr-HR"/>
        </w:rPr>
      </w:pPr>
    </w:p>
    <w:p w:rsidR="00355687" w:rsidRPr="00DE3354" w:rsidRDefault="00355687" w:rsidP="00355687">
      <w:pPr>
        <w:spacing w:after="0" w:line="240" w:lineRule="auto"/>
        <w:jc w:val="both"/>
        <w:rPr>
          <w:rFonts w:eastAsia="Times New Roman" w:cstheme="minorHAnsi"/>
          <w:lang w:eastAsia="hr-HR"/>
        </w:rPr>
      </w:pPr>
      <w:r w:rsidRPr="00DE3354">
        <w:rPr>
          <w:rFonts w:eastAsia="Times New Roman" w:cstheme="minorHAnsi"/>
          <w:i/>
          <w:lang w:eastAsia="hr-HR"/>
        </w:rPr>
        <w:t>Ostali prihodi od nefinancijske imovine</w:t>
      </w:r>
      <w:r w:rsidRPr="00DE3354">
        <w:rPr>
          <w:rFonts w:eastAsia="Times New Roman" w:cstheme="minorHAnsi"/>
          <w:lang w:eastAsia="hr-HR"/>
        </w:rPr>
        <w:t xml:space="preserve"> </w:t>
      </w:r>
    </w:p>
    <w:p w:rsidR="00355687" w:rsidRPr="00DE3354" w:rsidRDefault="00355687" w:rsidP="00355687">
      <w:pPr>
        <w:spacing w:after="0" w:line="240" w:lineRule="auto"/>
        <w:jc w:val="both"/>
        <w:rPr>
          <w:rFonts w:eastAsia="Times New Roman" w:cstheme="minorHAnsi"/>
          <w:lang w:eastAsia="hr-HR"/>
        </w:rPr>
      </w:pPr>
    </w:p>
    <w:p w:rsidR="00355687" w:rsidRPr="00DE3354" w:rsidRDefault="00355687" w:rsidP="00355687">
      <w:pPr>
        <w:spacing w:after="0" w:line="240" w:lineRule="auto"/>
        <w:jc w:val="both"/>
        <w:rPr>
          <w:rFonts w:eastAsia="Times New Roman" w:cstheme="minorHAnsi"/>
          <w:lang w:eastAsia="hr-HR"/>
        </w:rPr>
      </w:pPr>
      <w:r w:rsidRPr="00DE3354">
        <w:rPr>
          <w:rFonts w:eastAsia="Times New Roman" w:cstheme="minorHAnsi"/>
          <w:lang w:eastAsia="hr-HR"/>
        </w:rPr>
        <w:t>Ostali prihodi od nefinancijske imovine ostvareni su manje nego prethodne godine, a odnose se na prihode od naknade za zadržavanje nezakonito izgrađene zgrade u prostoru. Dinamika naplate usporenija je u odnosu na isti period prošle godine iz razloga što je najveći dio predmeta već obrađen i postupak legalizacije je u završnoj fazi.</w:t>
      </w:r>
    </w:p>
    <w:p w:rsidR="00355687" w:rsidRPr="00DE3354" w:rsidRDefault="00355687" w:rsidP="00355687">
      <w:pPr>
        <w:spacing w:after="0" w:line="240" w:lineRule="auto"/>
        <w:jc w:val="both"/>
        <w:rPr>
          <w:rFonts w:eastAsia="Times New Roman" w:cstheme="minorHAnsi"/>
          <w:lang w:eastAsia="hr-HR"/>
        </w:rPr>
      </w:pPr>
    </w:p>
    <w:p w:rsidR="00355687" w:rsidRPr="00DE3354" w:rsidRDefault="00355687" w:rsidP="00355687">
      <w:pPr>
        <w:spacing w:after="0" w:line="240" w:lineRule="auto"/>
        <w:jc w:val="both"/>
        <w:rPr>
          <w:rFonts w:eastAsia="Times New Roman" w:cstheme="minorHAnsi"/>
          <w:lang w:eastAsia="hr-HR"/>
        </w:rPr>
      </w:pPr>
    </w:p>
    <w:p w:rsidR="00355687" w:rsidRPr="00DE3354" w:rsidRDefault="00355687" w:rsidP="00355687">
      <w:pPr>
        <w:spacing w:after="0" w:line="240" w:lineRule="auto"/>
        <w:jc w:val="both"/>
        <w:rPr>
          <w:rFonts w:eastAsia="Times New Roman" w:cstheme="minorHAnsi"/>
          <w:b/>
          <w:lang w:eastAsia="hr-HR"/>
        </w:rPr>
      </w:pPr>
      <w:r w:rsidRPr="00DE3354">
        <w:rPr>
          <w:rFonts w:eastAsia="Times New Roman" w:cstheme="minorHAnsi"/>
          <w:b/>
          <w:lang w:eastAsia="hr-HR"/>
        </w:rPr>
        <w:t>AOP 108</w:t>
      </w:r>
    </w:p>
    <w:p w:rsidR="00355687" w:rsidRPr="00DE3354" w:rsidRDefault="00355687" w:rsidP="00355687">
      <w:pPr>
        <w:spacing w:after="0" w:line="240" w:lineRule="auto"/>
        <w:jc w:val="both"/>
        <w:rPr>
          <w:rFonts w:eastAsia="Times New Roman" w:cstheme="minorHAnsi"/>
          <w:b/>
          <w:lang w:eastAsia="hr-HR"/>
        </w:rPr>
      </w:pPr>
    </w:p>
    <w:p w:rsidR="00355687" w:rsidRPr="00DE3354" w:rsidRDefault="00355687" w:rsidP="00355687">
      <w:pPr>
        <w:spacing w:after="0" w:line="240" w:lineRule="auto"/>
        <w:jc w:val="both"/>
        <w:rPr>
          <w:rFonts w:eastAsia="Times New Roman" w:cstheme="minorHAnsi"/>
          <w:i/>
          <w:lang w:eastAsia="hr-HR"/>
        </w:rPr>
      </w:pPr>
      <w:r w:rsidRPr="00DE3354">
        <w:rPr>
          <w:rFonts w:eastAsia="Times New Roman" w:cstheme="minorHAnsi"/>
          <w:i/>
          <w:lang w:eastAsia="hr-HR"/>
        </w:rPr>
        <w:t>Prihodi od županijskih, gradskih i općinskih pristojbi i naknada</w:t>
      </w:r>
    </w:p>
    <w:p w:rsidR="00355687" w:rsidRPr="00DE3354" w:rsidRDefault="00355687" w:rsidP="00355687">
      <w:pPr>
        <w:spacing w:after="0" w:line="240" w:lineRule="auto"/>
        <w:jc w:val="both"/>
        <w:rPr>
          <w:rFonts w:eastAsia="Times New Roman" w:cstheme="minorHAnsi"/>
          <w:lang w:eastAsia="hr-HR"/>
        </w:rPr>
      </w:pPr>
    </w:p>
    <w:p w:rsidR="00355687" w:rsidRPr="00DE3354" w:rsidRDefault="00355687" w:rsidP="00355687">
      <w:pPr>
        <w:spacing w:after="0" w:line="240" w:lineRule="auto"/>
        <w:jc w:val="both"/>
        <w:rPr>
          <w:rFonts w:eastAsia="Times New Roman" w:cstheme="minorHAnsi"/>
          <w:lang w:eastAsia="hr-HR"/>
        </w:rPr>
      </w:pPr>
      <w:r w:rsidRPr="00DE3354">
        <w:rPr>
          <w:rFonts w:eastAsia="Times New Roman" w:cstheme="minorHAnsi"/>
          <w:lang w:eastAsia="hr-HR"/>
        </w:rPr>
        <w:t xml:space="preserve">Prihodi od županijskih, gradskih i općinskih pristojbi i naknada ostvareni su manje nego prethodne godine, jer je ZGOS u prethodnoj godini uplatio dug za ekološku rentu po ranijoj obvezi. </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110</w:t>
      </w:r>
    </w:p>
    <w:p w:rsidR="00355687" w:rsidRPr="00DE3354" w:rsidRDefault="00355687" w:rsidP="00355687">
      <w:pPr>
        <w:jc w:val="both"/>
        <w:rPr>
          <w:rFonts w:cstheme="minorHAnsi"/>
          <w:i/>
        </w:rPr>
      </w:pPr>
      <w:r w:rsidRPr="00DE3354">
        <w:rPr>
          <w:rFonts w:cstheme="minorHAnsi"/>
          <w:i/>
        </w:rPr>
        <w:t xml:space="preserve">Ostale pristojbe i naknade </w:t>
      </w:r>
    </w:p>
    <w:p w:rsidR="00355687" w:rsidRPr="00DE3354" w:rsidRDefault="00355687" w:rsidP="00355687">
      <w:pPr>
        <w:jc w:val="both"/>
        <w:rPr>
          <w:rFonts w:cstheme="minorHAnsi"/>
        </w:rPr>
      </w:pPr>
      <w:r w:rsidRPr="00DE3354">
        <w:rPr>
          <w:rFonts w:cstheme="minorHAnsi"/>
        </w:rPr>
        <w:t xml:space="preserve">Ostale pristojbe i naknade odnose se na boravišne pristojbe. Zbog kontinuiranog rasta gostiju u Gradu Zagrebu povećavaju se prihodi od boravišne pristojbe. </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116</w:t>
      </w:r>
    </w:p>
    <w:p w:rsidR="00355687" w:rsidRPr="00DE3354" w:rsidRDefault="00355687" w:rsidP="00355687">
      <w:pPr>
        <w:jc w:val="both"/>
        <w:rPr>
          <w:rFonts w:cstheme="minorHAnsi"/>
          <w:i/>
        </w:rPr>
      </w:pPr>
      <w:r w:rsidRPr="00DE3354">
        <w:rPr>
          <w:rFonts w:cstheme="minorHAnsi"/>
          <w:i/>
        </w:rPr>
        <w:t xml:space="preserve">Ostali nespomenuti prihodi </w:t>
      </w:r>
    </w:p>
    <w:p w:rsidR="00355687" w:rsidRPr="00DE3354" w:rsidRDefault="00355687" w:rsidP="00355687">
      <w:pPr>
        <w:jc w:val="both"/>
        <w:rPr>
          <w:rFonts w:cstheme="minorHAnsi"/>
        </w:rPr>
      </w:pPr>
      <w:r w:rsidRPr="00DE3354">
        <w:rPr>
          <w:rFonts w:cstheme="minorHAnsi"/>
        </w:rPr>
        <w:t xml:space="preserve">Ostali nespomenuti prihodi obuhvaćaju sufinanciranje u cijeni programa predškolskog odgoja, sufinanciranje obnove zgrada, prihode iz cijene komunalne usluge po ranije zaključenim ugovorima i ostale nespomenute prihode po posebnim propisima. Veći prihod u u 2018. ostvaren je uplatama na temelju  zaključenih novih ugovora o sufinanciranju obnove pročelja višestambenih zgrada kao i većim prihodima od sufinanciranja u cijeni predškolskog odgoja kao rezultat izgradnje novih predškolskih ustanova i smještaja većeg broja djece. </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120</w:t>
      </w:r>
    </w:p>
    <w:p w:rsidR="00355687" w:rsidRPr="00DE3354" w:rsidRDefault="00355687" w:rsidP="00355687">
      <w:pPr>
        <w:jc w:val="both"/>
        <w:rPr>
          <w:rFonts w:cstheme="minorHAnsi"/>
          <w:i/>
        </w:rPr>
      </w:pPr>
      <w:r w:rsidRPr="00DE3354">
        <w:rPr>
          <w:rFonts w:cstheme="minorHAnsi"/>
          <w:i/>
        </w:rPr>
        <w:t>Komunalni doprinosi</w:t>
      </w:r>
    </w:p>
    <w:p w:rsidR="00355687" w:rsidRPr="00DE3354" w:rsidRDefault="00355687" w:rsidP="00355687">
      <w:pPr>
        <w:jc w:val="both"/>
        <w:rPr>
          <w:rFonts w:cstheme="minorHAnsi"/>
        </w:rPr>
      </w:pPr>
      <w:r w:rsidRPr="00DE3354">
        <w:rPr>
          <w:rFonts w:cstheme="minorHAnsi"/>
        </w:rPr>
        <w:t>Prihodi od komunalnog doprinosa kretali su se na razini prethodne godine, a uplata po osnovi jedne veće investicije rezultirala je većim  prihodima u odnosu na prethodnu godinu.</w:t>
      </w:r>
    </w:p>
    <w:p w:rsidR="00355687" w:rsidRPr="00DE3354" w:rsidRDefault="00355687" w:rsidP="00355687">
      <w:pPr>
        <w:jc w:val="both"/>
        <w:rPr>
          <w:rFonts w:cstheme="minorHAnsi"/>
        </w:rPr>
      </w:pPr>
    </w:p>
    <w:p w:rsidR="00355687" w:rsidRPr="00DE3354" w:rsidRDefault="00355687" w:rsidP="00355687">
      <w:pPr>
        <w:rPr>
          <w:rFonts w:cstheme="minorHAnsi"/>
          <w:b/>
        </w:rPr>
      </w:pPr>
      <w:r w:rsidRPr="00DE3354">
        <w:rPr>
          <w:rFonts w:cstheme="minorHAnsi"/>
          <w:b/>
        </w:rPr>
        <w:t>AOP 122</w:t>
      </w:r>
    </w:p>
    <w:p w:rsidR="00355687" w:rsidRPr="00DE3354" w:rsidRDefault="00355687" w:rsidP="00355687">
      <w:pPr>
        <w:jc w:val="both"/>
        <w:rPr>
          <w:rFonts w:cstheme="minorHAnsi"/>
          <w:i/>
        </w:rPr>
      </w:pPr>
      <w:r w:rsidRPr="00DE3354">
        <w:rPr>
          <w:rFonts w:cstheme="minorHAnsi"/>
          <w:i/>
        </w:rPr>
        <w:t xml:space="preserve">Naknade za priključak </w:t>
      </w:r>
    </w:p>
    <w:p w:rsidR="00355687" w:rsidRPr="00DE3354" w:rsidRDefault="00355687" w:rsidP="00355687">
      <w:pPr>
        <w:jc w:val="both"/>
        <w:rPr>
          <w:rFonts w:cstheme="minorHAnsi"/>
        </w:rPr>
      </w:pPr>
      <w:r w:rsidRPr="00DE3354">
        <w:rPr>
          <w:rFonts w:cstheme="minorHAnsi"/>
        </w:rPr>
        <w:t xml:space="preserve">Naknade za priključivanje na komunalnu infrastrukturu ostvarene su po osnovi potraživanja po ranije zaključenim ugovorima. Izmjenama Odluke o priključivanju na komunalne vodne građevine (Službeni glasnik 25/13) brisane su odredbe o plaćanju naknade. </w:t>
      </w:r>
    </w:p>
    <w:p w:rsidR="00355687" w:rsidRPr="00DE3354" w:rsidRDefault="00355687" w:rsidP="00355687">
      <w:pPr>
        <w:jc w:val="both"/>
        <w:rPr>
          <w:rFonts w:cstheme="minorHAnsi"/>
          <w:b/>
        </w:rPr>
      </w:pPr>
      <w:r w:rsidRPr="00DE3354">
        <w:rPr>
          <w:rFonts w:cstheme="minorHAnsi"/>
          <w:b/>
        </w:rPr>
        <w:lastRenderedPageBreak/>
        <w:t>AOP 146</w:t>
      </w:r>
    </w:p>
    <w:p w:rsidR="00355687" w:rsidRPr="00DE3354" w:rsidRDefault="00355687" w:rsidP="00355687">
      <w:pPr>
        <w:jc w:val="both"/>
        <w:rPr>
          <w:rFonts w:cstheme="minorHAnsi"/>
          <w:i/>
        </w:rPr>
      </w:pPr>
      <w:r w:rsidRPr="00DE3354">
        <w:rPr>
          <w:rFonts w:cstheme="minorHAnsi"/>
          <w:i/>
        </w:rPr>
        <w:t xml:space="preserve">Kazne i upravne mjere </w:t>
      </w:r>
    </w:p>
    <w:p w:rsidR="00355687" w:rsidRPr="00DE3354" w:rsidRDefault="00355687" w:rsidP="00355687">
      <w:pPr>
        <w:jc w:val="both"/>
        <w:rPr>
          <w:rFonts w:cstheme="minorHAnsi"/>
        </w:rPr>
      </w:pPr>
      <w:r w:rsidRPr="00DE3354">
        <w:rPr>
          <w:rFonts w:cstheme="minorHAnsi"/>
        </w:rPr>
        <w:t>U 2018. su ostvareni veći prihodi od naplaćenih kazni kao rezultat pojačanog nadzora i poduzimanja mjera za naplatu kazni po utvrđenim prekršajima.</w:t>
      </w:r>
    </w:p>
    <w:p w:rsidR="00355687" w:rsidRPr="00DE3354" w:rsidRDefault="00355687" w:rsidP="00355687">
      <w:pPr>
        <w:jc w:val="both"/>
        <w:rPr>
          <w:rFonts w:cstheme="minorHAnsi"/>
        </w:rPr>
      </w:pPr>
    </w:p>
    <w:p w:rsidR="00355687" w:rsidRPr="00DE3354" w:rsidRDefault="00355687" w:rsidP="00355687">
      <w:pPr>
        <w:jc w:val="both"/>
        <w:rPr>
          <w:rFonts w:cstheme="minorHAnsi"/>
          <w:b/>
        </w:rPr>
      </w:pPr>
      <w:r w:rsidRPr="00DE3354">
        <w:rPr>
          <w:rFonts w:cstheme="minorHAnsi"/>
          <w:b/>
        </w:rPr>
        <w:t>AOP 147</w:t>
      </w:r>
    </w:p>
    <w:p w:rsidR="00355687" w:rsidRPr="00DE3354" w:rsidRDefault="00355687" w:rsidP="00355687">
      <w:pPr>
        <w:jc w:val="both"/>
        <w:rPr>
          <w:rFonts w:cstheme="minorHAnsi"/>
          <w:i/>
        </w:rPr>
      </w:pPr>
      <w:r w:rsidRPr="00DE3354">
        <w:rPr>
          <w:rFonts w:cstheme="minorHAnsi"/>
          <w:i/>
        </w:rPr>
        <w:t>Ostali prihodi</w:t>
      </w:r>
    </w:p>
    <w:p w:rsidR="00355687" w:rsidRPr="00DE3354" w:rsidRDefault="00355687" w:rsidP="00355687">
      <w:pPr>
        <w:jc w:val="both"/>
        <w:rPr>
          <w:rFonts w:cstheme="minorHAnsi"/>
        </w:rPr>
      </w:pPr>
      <w:r w:rsidRPr="00DE3354">
        <w:rPr>
          <w:rFonts w:cstheme="minorHAnsi"/>
        </w:rPr>
        <w:t>Ostali prihodi obuhvaćaju povrate neutrošenih sredstava proračunskih korisnika, povrate režijskih troškova, povrate agencije za pravni promet i posredovanje nekretninama, prihodi koje ostvaruje Gradski ured za katastar, naplaćeni troškovi postupaka za naplatu potraživanja, prihode od kuhinja i ostale manje prihode. U 2018. su bili veći povrati proračunskih korisnika, povrati agencije za pravni promet i posredovanje nekretninama.</w:t>
      </w:r>
    </w:p>
    <w:p w:rsidR="0064340F" w:rsidRDefault="0064340F" w:rsidP="001B5FD7">
      <w:pPr>
        <w:autoSpaceDE w:val="0"/>
        <w:autoSpaceDN w:val="0"/>
        <w:adjustRightInd w:val="0"/>
        <w:spacing w:after="0" w:line="240" w:lineRule="auto"/>
        <w:jc w:val="both"/>
        <w:rPr>
          <w:rFonts w:cstheme="minorHAnsi"/>
          <w:b/>
          <w:u w:val="single"/>
        </w:rPr>
      </w:pPr>
    </w:p>
    <w:p w:rsidR="0064340F" w:rsidRDefault="0064340F" w:rsidP="001B5FD7">
      <w:pPr>
        <w:autoSpaceDE w:val="0"/>
        <w:autoSpaceDN w:val="0"/>
        <w:adjustRightInd w:val="0"/>
        <w:spacing w:after="0" w:line="240" w:lineRule="auto"/>
        <w:jc w:val="both"/>
        <w:rPr>
          <w:rFonts w:cstheme="minorHAnsi"/>
          <w:b/>
          <w:u w:val="single"/>
        </w:rPr>
      </w:pPr>
    </w:p>
    <w:p w:rsidR="00E30A88" w:rsidRDefault="00DC754E" w:rsidP="001B5FD7">
      <w:pPr>
        <w:autoSpaceDE w:val="0"/>
        <w:autoSpaceDN w:val="0"/>
        <w:adjustRightInd w:val="0"/>
        <w:spacing w:after="0" w:line="240" w:lineRule="auto"/>
        <w:jc w:val="both"/>
        <w:rPr>
          <w:rFonts w:cstheme="minorHAnsi"/>
          <w:b/>
          <w:u w:val="single"/>
        </w:rPr>
      </w:pPr>
      <w:r w:rsidRPr="00DC754E">
        <w:rPr>
          <w:rFonts w:cstheme="minorHAnsi"/>
          <w:b/>
          <w:u w:val="single"/>
        </w:rPr>
        <w:t>AOP 148 RASHODI POSLOVANJA</w:t>
      </w:r>
    </w:p>
    <w:p w:rsidR="00DC754E" w:rsidRDefault="00DC754E" w:rsidP="001B5FD7">
      <w:pPr>
        <w:autoSpaceDE w:val="0"/>
        <w:autoSpaceDN w:val="0"/>
        <w:adjustRightInd w:val="0"/>
        <w:spacing w:after="0" w:line="240" w:lineRule="auto"/>
        <w:jc w:val="both"/>
        <w:rPr>
          <w:rFonts w:cstheme="minorHAnsi"/>
          <w:b/>
          <w:u w:val="single"/>
        </w:rPr>
      </w:pPr>
    </w:p>
    <w:p w:rsidR="00FE57A8" w:rsidRPr="00FE57A8" w:rsidRDefault="00FE57A8" w:rsidP="001B5FD7">
      <w:pPr>
        <w:autoSpaceDE w:val="0"/>
        <w:autoSpaceDN w:val="0"/>
        <w:adjustRightInd w:val="0"/>
        <w:spacing w:after="0" w:line="240" w:lineRule="auto"/>
        <w:jc w:val="both"/>
        <w:rPr>
          <w:rFonts w:cstheme="minorHAnsi"/>
        </w:rPr>
      </w:pPr>
      <w:r>
        <w:rPr>
          <w:rFonts w:cstheme="minorHAnsi"/>
          <w:b/>
          <w:bCs/>
        </w:rPr>
        <w:t>Rashodi poslovanja (AOP 148</w:t>
      </w:r>
      <w:r w:rsidRPr="00FE57A8">
        <w:rPr>
          <w:rFonts w:cstheme="minorHAnsi"/>
          <w:b/>
          <w:bCs/>
        </w:rPr>
        <w:t xml:space="preserve">) </w:t>
      </w:r>
      <w:r w:rsidRPr="00FE57A8">
        <w:rPr>
          <w:rFonts w:cstheme="minorHAnsi"/>
        </w:rPr>
        <w:t xml:space="preserve">ostvareni su u ukupnom iznosu od </w:t>
      </w:r>
      <w:r w:rsidR="00315625">
        <w:rPr>
          <w:rFonts w:cstheme="minorHAnsi"/>
        </w:rPr>
        <w:t>6.423.072.225</w:t>
      </w:r>
      <w:r w:rsidRPr="00FE57A8">
        <w:rPr>
          <w:rFonts w:cstheme="minorHAnsi"/>
        </w:rPr>
        <w:t xml:space="preserve"> kn, za </w:t>
      </w:r>
      <w:r w:rsidR="00315625">
        <w:rPr>
          <w:rFonts w:cstheme="minorHAnsi"/>
        </w:rPr>
        <w:t>284.951.064</w:t>
      </w:r>
      <w:r>
        <w:rPr>
          <w:rFonts w:cstheme="minorHAnsi"/>
        </w:rPr>
        <w:t xml:space="preserve"> </w:t>
      </w:r>
      <w:r w:rsidRPr="00FE57A8">
        <w:rPr>
          <w:rFonts w:cstheme="minorHAnsi"/>
        </w:rPr>
        <w:t xml:space="preserve">kn, odnosno </w:t>
      </w:r>
      <w:r w:rsidR="00CE07FA">
        <w:rPr>
          <w:rFonts w:cstheme="minorHAnsi"/>
        </w:rPr>
        <w:t>5</w:t>
      </w:r>
      <w:r w:rsidR="00315625">
        <w:rPr>
          <w:rFonts w:cstheme="minorHAnsi"/>
        </w:rPr>
        <w:t>%</w:t>
      </w:r>
      <w:r w:rsidRPr="00FE57A8">
        <w:rPr>
          <w:rFonts w:cstheme="minorHAnsi"/>
        </w:rPr>
        <w:t xml:space="preserve"> </w:t>
      </w:r>
      <w:r w:rsidR="00315625">
        <w:rPr>
          <w:rFonts w:cstheme="minorHAnsi"/>
        </w:rPr>
        <w:t>više</w:t>
      </w:r>
      <w:r w:rsidRPr="00FE57A8">
        <w:rPr>
          <w:rFonts w:cstheme="minorHAnsi"/>
        </w:rPr>
        <w:t xml:space="preserve"> u odnosu na prethodnu godinu.</w:t>
      </w:r>
    </w:p>
    <w:p w:rsidR="00FE57A8" w:rsidRDefault="00FE57A8" w:rsidP="001B5FD7">
      <w:pPr>
        <w:autoSpaceDE w:val="0"/>
        <w:autoSpaceDN w:val="0"/>
        <w:adjustRightInd w:val="0"/>
        <w:spacing w:after="0" w:line="240" w:lineRule="auto"/>
        <w:jc w:val="both"/>
        <w:rPr>
          <w:rFonts w:ascii="Helvetica" w:hAnsi="Helvetica" w:cs="Helvetica"/>
        </w:rPr>
      </w:pPr>
    </w:p>
    <w:p w:rsidR="00DC754E" w:rsidRDefault="00FE57A8" w:rsidP="001B5FD7">
      <w:pPr>
        <w:autoSpaceDE w:val="0"/>
        <w:autoSpaceDN w:val="0"/>
        <w:adjustRightInd w:val="0"/>
        <w:spacing w:after="0" w:line="240" w:lineRule="auto"/>
        <w:jc w:val="both"/>
        <w:rPr>
          <w:rFonts w:cstheme="minorHAnsi"/>
        </w:rPr>
      </w:pPr>
      <w:r w:rsidRPr="00315625">
        <w:rPr>
          <w:rFonts w:cstheme="minorHAnsi"/>
        </w:rPr>
        <w:t>Tablica</w:t>
      </w:r>
      <w:r w:rsidR="004608F2">
        <w:rPr>
          <w:rFonts w:cstheme="minorHAnsi"/>
        </w:rPr>
        <w:t xml:space="preserve"> 3:</w:t>
      </w:r>
      <w:r w:rsidRPr="00315625">
        <w:rPr>
          <w:rFonts w:cstheme="minorHAnsi"/>
        </w:rPr>
        <w:t xml:space="preserve"> </w:t>
      </w:r>
      <w:r w:rsidR="00315625" w:rsidRPr="00315625">
        <w:rPr>
          <w:rFonts w:cstheme="minorHAnsi"/>
        </w:rPr>
        <w:t>Rashodi poslovanja</w:t>
      </w:r>
    </w:p>
    <w:p w:rsidR="00315625" w:rsidRPr="00315625" w:rsidRDefault="00315625" w:rsidP="001B5FD7">
      <w:pPr>
        <w:autoSpaceDE w:val="0"/>
        <w:autoSpaceDN w:val="0"/>
        <w:adjustRightInd w:val="0"/>
        <w:spacing w:after="0" w:line="240" w:lineRule="auto"/>
        <w:jc w:val="both"/>
        <w:rPr>
          <w:rFonts w:cstheme="minorHAnsi"/>
          <w:b/>
          <w:u w:val="single"/>
        </w:rPr>
      </w:pPr>
    </w:p>
    <w:tbl>
      <w:tblPr>
        <w:tblStyle w:val="TableGrid"/>
        <w:tblW w:w="0" w:type="auto"/>
        <w:jc w:val="center"/>
        <w:tblLook w:val="04A0" w:firstRow="1" w:lastRow="0" w:firstColumn="1" w:lastColumn="0" w:noHBand="0" w:noVBand="1"/>
      </w:tblPr>
      <w:tblGrid>
        <w:gridCol w:w="651"/>
        <w:gridCol w:w="3030"/>
        <w:gridCol w:w="533"/>
        <w:gridCol w:w="1533"/>
        <w:gridCol w:w="1565"/>
        <w:gridCol w:w="700"/>
      </w:tblGrid>
      <w:tr w:rsidR="00624B03" w:rsidRPr="00515A54" w:rsidTr="009F3D0C">
        <w:trPr>
          <w:trHeight w:val="416"/>
          <w:jc w:val="center"/>
        </w:trPr>
        <w:tc>
          <w:tcPr>
            <w:tcW w:w="651" w:type="dxa"/>
            <w:shd w:val="clear" w:color="auto" w:fill="BDD6EE" w:themeFill="accent1" w:themeFillTint="66"/>
            <w:noWrap/>
            <w:vAlign w:val="center"/>
            <w:hideMark/>
          </w:tcPr>
          <w:p w:rsidR="00624B03" w:rsidRPr="00515A54" w:rsidRDefault="00624B03" w:rsidP="009F3D0C">
            <w:pPr>
              <w:autoSpaceDE w:val="0"/>
              <w:autoSpaceDN w:val="0"/>
              <w:adjustRightInd w:val="0"/>
              <w:jc w:val="center"/>
              <w:rPr>
                <w:rFonts w:cstheme="minorHAnsi"/>
                <w:sz w:val="16"/>
                <w:szCs w:val="16"/>
              </w:rPr>
            </w:pPr>
            <w:r w:rsidRPr="00515A54">
              <w:rPr>
                <w:rFonts w:cstheme="minorHAnsi"/>
                <w:sz w:val="16"/>
                <w:szCs w:val="16"/>
              </w:rPr>
              <w:t>Račun</w:t>
            </w:r>
          </w:p>
        </w:tc>
        <w:tc>
          <w:tcPr>
            <w:tcW w:w="3030" w:type="dxa"/>
            <w:shd w:val="clear" w:color="auto" w:fill="BDD6EE" w:themeFill="accent1" w:themeFillTint="66"/>
            <w:noWrap/>
            <w:vAlign w:val="center"/>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OPIS</w:t>
            </w:r>
          </w:p>
        </w:tc>
        <w:tc>
          <w:tcPr>
            <w:tcW w:w="307" w:type="dxa"/>
            <w:shd w:val="clear" w:color="auto" w:fill="BDD6EE" w:themeFill="accent1" w:themeFillTint="66"/>
            <w:noWrap/>
            <w:vAlign w:val="center"/>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AOP</w:t>
            </w:r>
          </w:p>
        </w:tc>
        <w:tc>
          <w:tcPr>
            <w:tcW w:w="1533" w:type="dxa"/>
            <w:shd w:val="clear" w:color="auto" w:fill="BDD6EE" w:themeFill="accent1" w:themeFillTint="66"/>
            <w:vAlign w:val="center"/>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Ostvareno prethodne godine</w:t>
            </w:r>
          </w:p>
        </w:tc>
        <w:tc>
          <w:tcPr>
            <w:tcW w:w="1565" w:type="dxa"/>
            <w:shd w:val="clear" w:color="auto" w:fill="BDD6EE" w:themeFill="accent1" w:themeFillTint="66"/>
            <w:vAlign w:val="center"/>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Ostvareno u tekućem razdoblju</w:t>
            </w:r>
          </w:p>
        </w:tc>
        <w:tc>
          <w:tcPr>
            <w:tcW w:w="700" w:type="dxa"/>
            <w:shd w:val="clear" w:color="auto" w:fill="BDD6EE" w:themeFill="accent1" w:themeFillTint="66"/>
            <w:noWrap/>
            <w:vAlign w:val="center"/>
            <w:hideMark/>
          </w:tcPr>
          <w:p w:rsidR="00624B03" w:rsidRPr="00515A54" w:rsidRDefault="00624B03" w:rsidP="009F3D0C">
            <w:pPr>
              <w:autoSpaceDE w:val="0"/>
              <w:autoSpaceDN w:val="0"/>
              <w:adjustRightInd w:val="0"/>
              <w:jc w:val="center"/>
              <w:rPr>
                <w:rFonts w:cstheme="minorHAnsi"/>
                <w:sz w:val="16"/>
                <w:szCs w:val="16"/>
              </w:rPr>
            </w:pPr>
            <w:r w:rsidRPr="00515A54">
              <w:rPr>
                <w:rFonts w:cstheme="minorHAnsi"/>
                <w:sz w:val="16"/>
                <w:szCs w:val="16"/>
              </w:rPr>
              <w:t>INDEKS</w:t>
            </w:r>
          </w:p>
        </w:tc>
      </w:tr>
      <w:tr w:rsidR="00624B03" w:rsidRPr="00515A54" w:rsidTr="009F3D0C">
        <w:trPr>
          <w:trHeight w:val="210"/>
          <w:jc w:val="center"/>
        </w:trPr>
        <w:tc>
          <w:tcPr>
            <w:tcW w:w="651" w:type="dxa"/>
            <w:shd w:val="clear" w:color="auto" w:fill="BDD6EE" w:themeFill="accent1" w:themeFillTint="66"/>
            <w:noWrap/>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1</w:t>
            </w:r>
          </w:p>
        </w:tc>
        <w:tc>
          <w:tcPr>
            <w:tcW w:w="3030" w:type="dxa"/>
            <w:shd w:val="clear" w:color="auto" w:fill="BDD6EE" w:themeFill="accent1" w:themeFillTint="66"/>
            <w:noWrap/>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2</w:t>
            </w:r>
          </w:p>
        </w:tc>
        <w:tc>
          <w:tcPr>
            <w:tcW w:w="307" w:type="dxa"/>
            <w:shd w:val="clear" w:color="auto" w:fill="BDD6EE" w:themeFill="accent1" w:themeFillTint="66"/>
            <w:noWrap/>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3</w:t>
            </w:r>
          </w:p>
        </w:tc>
        <w:tc>
          <w:tcPr>
            <w:tcW w:w="1533" w:type="dxa"/>
            <w:shd w:val="clear" w:color="auto" w:fill="BDD6EE" w:themeFill="accent1" w:themeFillTint="66"/>
            <w:noWrap/>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4</w:t>
            </w:r>
          </w:p>
        </w:tc>
        <w:tc>
          <w:tcPr>
            <w:tcW w:w="1565" w:type="dxa"/>
            <w:shd w:val="clear" w:color="auto" w:fill="BDD6EE" w:themeFill="accent1" w:themeFillTint="66"/>
            <w:noWrap/>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5</w:t>
            </w:r>
          </w:p>
        </w:tc>
        <w:tc>
          <w:tcPr>
            <w:tcW w:w="700" w:type="dxa"/>
            <w:shd w:val="clear" w:color="auto" w:fill="BDD6EE" w:themeFill="accent1" w:themeFillTint="66"/>
            <w:noWrap/>
            <w:hideMark/>
          </w:tcPr>
          <w:p w:rsidR="00624B03" w:rsidRPr="00515A54" w:rsidRDefault="00624B03" w:rsidP="009F3D0C">
            <w:pPr>
              <w:autoSpaceDE w:val="0"/>
              <w:autoSpaceDN w:val="0"/>
              <w:adjustRightInd w:val="0"/>
              <w:jc w:val="center"/>
              <w:rPr>
                <w:rFonts w:cstheme="minorHAnsi"/>
                <w:sz w:val="18"/>
                <w:szCs w:val="18"/>
              </w:rPr>
            </w:pPr>
            <w:r w:rsidRPr="00515A54">
              <w:rPr>
                <w:rFonts w:cstheme="minorHAnsi"/>
                <w:sz w:val="18"/>
                <w:szCs w:val="18"/>
              </w:rPr>
              <w:t>6</w:t>
            </w:r>
          </w:p>
        </w:tc>
      </w:tr>
      <w:tr w:rsidR="00624B03" w:rsidRPr="00515A54" w:rsidTr="009A2B8A">
        <w:trPr>
          <w:trHeight w:val="555"/>
          <w:jc w:val="center"/>
        </w:trPr>
        <w:tc>
          <w:tcPr>
            <w:tcW w:w="651"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w:t>
            </w:r>
          </w:p>
        </w:tc>
        <w:tc>
          <w:tcPr>
            <w:tcW w:w="3030"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RASHODI</w:t>
            </w:r>
            <w:r w:rsidRPr="00515A54">
              <w:rPr>
                <w:rFonts w:cstheme="minorHAnsi"/>
                <w:sz w:val="18"/>
                <w:szCs w:val="18"/>
              </w:rPr>
              <w:t xml:space="preserve"> POSLOVANJA</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148</w:t>
            </w:r>
          </w:p>
        </w:tc>
        <w:tc>
          <w:tcPr>
            <w:tcW w:w="1533" w:type="dxa"/>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6.423.072.225</w:t>
            </w:r>
          </w:p>
        </w:tc>
        <w:tc>
          <w:tcPr>
            <w:tcW w:w="1565" w:type="dxa"/>
            <w:noWrap/>
            <w:vAlign w:val="center"/>
          </w:tcPr>
          <w:p w:rsidR="00624B03" w:rsidRPr="00515A54" w:rsidRDefault="00F41C5D" w:rsidP="00A927CF">
            <w:pPr>
              <w:autoSpaceDE w:val="0"/>
              <w:autoSpaceDN w:val="0"/>
              <w:adjustRightInd w:val="0"/>
              <w:jc w:val="right"/>
              <w:rPr>
                <w:rFonts w:cstheme="minorHAnsi"/>
                <w:sz w:val="18"/>
                <w:szCs w:val="18"/>
              </w:rPr>
            </w:pPr>
            <w:r>
              <w:rPr>
                <w:rFonts w:cstheme="minorHAnsi"/>
                <w:sz w:val="18"/>
                <w:szCs w:val="18"/>
              </w:rPr>
              <w:t>6.732.159.784</w:t>
            </w:r>
          </w:p>
        </w:tc>
        <w:tc>
          <w:tcPr>
            <w:tcW w:w="700" w:type="dxa"/>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105</w:t>
            </w:r>
          </w:p>
        </w:tc>
      </w:tr>
      <w:tr w:rsidR="00624B03" w:rsidRPr="00515A54" w:rsidTr="009A2B8A">
        <w:trPr>
          <w:trHeight w:val="555"/>
          <w:jc w:val="center"/>
        </w:trPr>
        <w:tc>
          <w:tcPr>
            <w:tcW w:w="651"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31</w:t>
            </w:r>
          </w:p>
        </w:tc>
        <w:tc>
          <w:tcPr>
            <w:tcW w:w="3030" w:type="dxa"/>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RASHODI ZA ZAPOSLENE</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149</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490.178.772</w:t>
            </w:r>
          </w:p>
        </w:tc>
        <w:tc>
          <w:tcPr>
            <w:tcW w:w="1565"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522.266.599</w:t>
            </w:r>
          </w:p>
        </w:tc>
        <w:tc>
          <w:tcPr>
            <w:tcW w:w="700"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107</w:t>
            </w:r>
          </w:p>
        </w:tc>
      </w:tr>
      <w:tr w:rsidR="00624B03" w:rsidRPr="00515A54" w:rsidTr="009A2B8A">
        <w:trPr>
          <w:trHeight w:val="555"/>
          <w:jc w:val="center"/>
        </w:trPr>
        <w:tc>
          <w:tcPr>
            <w:tcW w:w="651"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32</w:t>
            </w:r>
          </w:p>
        </w:tc>
        <w:tc>
          <w:tcPr>
            <w:tcW w:w="3030" w:type="dxa"/>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MATERIJALNI RASHODI</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159</w:t>
            </w:r>
          </w:p>
        </w:tc>
        <w:tc>
          <w:tcPr>
            <w:tcW w:w="1533" w:type="dxa"/>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1.809.760.147</w:t>
            </w:r>
          </w:p>
        </w:tc>
        <w:tc>
          <w:tcPr>
            <w:tcW w:w="1565" w:type="dxa"/>
            <w:noWrap/>
            <w:vAlign w:val="center"/>
          </w:tcPr>
          <w:p w:rsidR="00624B03" w:rsidRPr="00515A54" w:rsidRDefault="00BD48B0" w:rsidP="00A927CF">
            <w:pPr>
              <w:autoSpaceDE w:val="0"/>
              <w:autoSpaceDN w:val="0"/>
              <w:adjustRightInd w:val="0"/>
              <w:jc w:val="right"/>
              <w:rPr>
                <w:rFonts w:cstheme="minorHAnsi"/>
                <w:sz w:val="18"/>
                <w:szCs w:val="18"/>
              </w:rPr>
            </w:pPr>
            <w:r>
              <w:rPr>
                <w:rFonts w:cstheme="minorHAnsi"/>
                <w:sz w:val="18"/>
                <w:szCs w:val="18"/>
              </w:rPr>
              <w:t>1.803.568.331</w:t>
            </w:r>
          </w:p>
        </w:tc>
        <w:tc>
          <w:tcPr>
            <w:tcW w:w="700" w:type="dxa"/>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100</w:t>
            </w:r>
          </w:p>
        </w:tc>
      </w:tr>
      <w:tr w:rsidR="00624B03" w:rsidRPr="00515A54" w:rsidTr="009A2B8A">
        <w:trPr>
          <w:trHeight w:val="540"/>
          <w:jc w:val="center"/>
        </w:trPr>
        <w:tc>
          <w:tcPr>
            <w:tcW w:w="651" w:type="dxa"/>
            <w:shd w:val="clear" w:color="auto" w:fill="auto"/>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34</w:t>
            </w:r>
          </w:p>
        </w:tc>
        <w:tc>
          <w:tcPr>
            <w:tcW w:w="3030" w:type="dxa"/>
            <w:shd w:val="clear" w:color="auto" w:fill="auto"/>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FINANCIJSKI RASHODI</w:t>
            </w:r>
          </w:p>
        </w:tc>
        <w:tc>
          <w:tcPr>
            <w:tcW w:w="307" w:type="dxa"/>
            <w:shd w:val="clear" w:color="auto" w:fill="auto"/>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193</w:t>
            </w:r>
          </w:p>
        </w:tc>
        <w:tc>
          <w:tcPr>
            <w:tcW w:w="1533" w:type="dxa"/>
            <w:shd w:val="clear" w:color="auto" w:fill="auto"/>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85.549.035</w:t>
            </w:r>
          </w:p>
        </w:tc>
        <w:tc>
          <w:tcPr>
            <w:tcW w:w="1565" w:type="dxa"/>
            <w:shd w:val="clear" w:color="auto" w:fill="auto"/>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108.654.870</w:t>
            </w:r>
          </w:p>
        </w:tc>
        <w:tc>
          <w:tcPr>
            <w:tcW w:w="700" w:type="dxa"/>
            <w:shd w:val="clear" w:color="auto" w:fill="auto"/>
            <w:noWrap/>
            <w:vAlign w:val="center"/>
          </w:tcPr>
          <w:p w:rsidR="00624B03" w:rsidRPr="00515A54" w:rsidRDefault="00FD2A42" w:rsidP="00A927CF">
            <w:pPr>
              <w:autoSpaceDE w:val="0"/>
              <w:autoSpaceDN w:val="0"/>
              <w:adjustRightInd w:val="0"/>
              <w:jc w:val="right"/>
              <w:rPr>
                <w:rFonts w:cstheme="minorHAnsi"/>
                <w:sz w:val="18"/>
                <w:szCs w:val="18"/>
              </w:rPr>
            </w:pPr>
            <w:r>
              <w:rPr>
                <w:rFonts w:cstheme="minorHAnsi"/>
                <w:sz w:val="18"/>
                <w:szCs w:val="18"/>
              </w:rPr>
              <w:t>127</w:t>
            </w:r>
          </w:p>
        </w:tc>
      </w:tr>
      <w:tr w:rsidR="00624B03" w:rsidRPr="00515A54" w:rsidTr="009A2B8A">
        <w:trPr>
          <w:trHeight w:val="555"/>
          <w:jc w:val="center"/>
        </w:trPr>
        <w:tc>
          <w:tcPr>
            <w:tcW w:w="651"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35</w:t>
            </w:r>
          </w:p>
        </w:tc>
        <w:tc>
          <w:tcPr>
            <w:tcW w:w="3030"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SUBVENCIJE</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212</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694.526.864</w:t>
            </w:r>
          </w:p>
        </w:tc>
        <w:tc>
          <w:tcPr>
            <w:tcW w:w="1565" w:type="dxa"/>
            <w:noWrap/>
            <w:vAlign w:val="center"/>
          </w:tcPr>
          <w:p w:rsidR="00624B03" w:rsidRPr="00515A54" w:rsidRDefault="006C6859" w:rsidP="00A927CF">
            <w:pPr>
              <w:autoSpaceDE w:val="0"/>
              <w:autoSpaceDN w:val="0"/>
              <w:adjustRightInd w:val="0"/>
              <w:jc w:val="right"/>
              <w:rPr>
                <w:rFonts w:cstheme="minorHAnsi"/>
                <w:sz w:val="18"/>
                <w:szCs w:val="18"/>
              </w:rPr>
            </w:pPr>
            <w:r>
              <w:rPr>
                <w:rFonts w:cstheme="minorHAnsi"/>
                <w:sz w:val="18"/>
                <w:szCs w:val="18"/>
              </w:rPr>
              <w:t>734.284.319</w:t>
            </w:r>
          </w:p>
        </w:tc>
        <w:tc>
          <w:tcPr>
            <w:tcW w:w="700" w:type="dxa"/>
            <w:noWrap/>
            <w:vAlign w:val="center"/>
          </w:tcPr>
          <w:p w:rsidR="00624B03" w:rsidRPr="00515A54" w:rsidRDefault="00076E84" w:rsidP="00A927CF">
            <w:pPr>
              <w:autoSpaceDE w:val="0"/>
              <w:autoSpaceDN w:val="0"/>
              <w:adjustRightInd w:val="0"/>
              <w:jc w:val="right"/>
              <w:rPr>
                <w:rFonts w:cstheme="minorHAnsi"/>
                <w:sz w:val="18"/>
                <w:szCs w:val="18"/>
              </w:rPr>
            </w:pPr>
            <w:r>
              <w:rPr>
                <w:rFonts w:cstheme="minorHAnsi"/>
                <w:sz w:val="18"/>
                <w:szCs w:val="18"/>
              </w:rPr>
              <w:t>106</w:t>
            </w:r>
          </w:p>
        </w:tc>
      </w:tr>
      <w:tr w:rsidR="00624B03" w:rsidRPr="00667103" w:rsidTr="009A2B8A">
        <w:trPr>
          <w:trHeight w:val="555"/>
          <w:jc w:val="center"/>
        </w:trPr>
        <w:tc>
          <w:tcPr>
            <w:tcW w:w="651"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36</w:t>
            </w:r>
          </w:p>
        </w:tc>
        <w:tc>
          <w:tcPr>
            <w:tcW w:w="3030" w:type="dxa"/>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POMOĆI DANE U INOZEMSTVO I UNUTAR OPĆEG PRORAČUNA</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221</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2.056.572.260</w:t>
            </w:r>
          </w:p>
        </w:tc>
        <w:tc>
          <w:tcPr>
            <w:tcW w:w="1565" w:type="dxa"/>
            <w:noWrap/>
            <w:vAlign w:val="center"/>
          </w:tcPr>
          <w:p w:rsidR="00624B03" w:rsidRPr="00515A54" w:rsidRDefault="00667103" w:rsidP="00A927CF">
            <w:pPr>
              <w:autoSpaceDE w:val="0"/>
              <w:autoSpaceDN w:val="0"/>
              <w:adjustRightInd w:val="0"/>
              <w:jc w:val="right"/>
              <w:rPr>
                <w:rFonts w:cstheme="minorHAnsi"/>
                <w:sz w:val="18"/>
                <w:szCs w:val="18"/>
              </w:rPr>
            </w:pPr>
            <w:r>
              <w:rPr>
                <w:rFonts w:cstheme="minorHAnsi"/>
                <w:sz w:val="18"/>
                <w:szCs w:val="18"/>
              </w:rPr>
              <w:t>2.169.955.544</w:t>
            </w:r>
          </w:p>
        </w:tc>
        <w:tc>
          <w:tcPr>
            <w:tcW w:w="700" w:type="dxa"/>
            <w:noWrap/>
            <w:vAlign w:val="center"/>
          </w:tcPr>
          <w:p w:rsidR="00624B03" w:rsidRPr="00667103" w:rsidRDefault="00A927CF" w:rsidP="00A927CF">
            <w:pPr>
              <w:autoSpaceDE w:val="0"/>
              <w:autoSpaceDN w:val="0"/>
              <w:adjustRightInd w:val="0"/>
              <w:jc w:val="right"/>
              <w:rPr>
                <w:rFonts w:cstheme="minorHAnsi"/>
                <w:sz w:val="18"/>
                <w:szCs w:val="18"/>
              </w:rPr>
            </w:pPr>
            <w:r w:rsidRPr="00667103">
              <w:rPr>
                <w:rFonts w:cstheme="minorHAnsi"/>
                <w:sz w:val="18"/>
                <w:szCs w:val="18"/>
              </w:rPr>
              <w:t>106</w:t>
            </w:r>
          </w:p>
        </w:tc>
      </w:tr>
      <w:tr w:rsidR="00624B03" w:rsidRPr="00515A54" w:rsidTr="009A2B8A">
        <w:trPr>
          <w:trHeight w:val="555"/>
          <w:jc w:val="center"/>
        </w:trPr>
        <w:tc>
          <w:tcPr>
            <w:tcW w:w="651" w:type="dxa"/>
            <w:noWrap/>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37</w:t>
            </w:r>
          </w:p>
        </w:tc>
        <w:tc>
          <w:tcPr>
            <w:tcW w:w="3030" w:type="dxa"/>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NAKNADE GRAĐANIMA I KUĆANSTVIMA NA TEMELJU OSIGURANJA I DRUGE NAKNADE</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246</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564.646.301</w:t>
            </w:r>
          </w:p>
        </w:tc>
        <w:tc>
          <w:tcPr>
            <w:tcW w:w="1565"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637.927.527</w:t>
            </w:r>
          </w:p>
        </w:tc>
        <w:tc>
          <w:tcPr>
            <w:tcW w:w="700"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113</w:t>
            </w:r>
          </w:p>
        </w:tc>
      </w:tr>
      <w:tr w:rsidR="00624B03" w:rsidRPr="00515A54" w:rsidTr="009A2B8A">
        <w:trPr>
          <w:trHeight w:val="570"/>
          <w:jc w:val="center"/>
        </w:trPr>
        <w:tc>
          <w:tcPr>
            <w:tcW w:w="651" w:type="dxa"/>
            <w:shd w:val="clear" w:color="auto" w:fill="auto"/>
            <w:noWrap/>
            <w:vAlign w:val="center"/>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38</w:t>
            </w:r>
          </w:p>
        </w:tc>
        <w:tc>
          <w:tcPr>
            <w:tcW w:w="3030" w:type="dxa"/>
            <w:shd w:val="clear" w:color="auto" w:fill="auto"/>
            <w:noWrap/>
            <w:vAlign w:val="center"/>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OSTALI RASHODI</w:t>
            </w:r>
          </w:p>
        </w:tc>
        <w:tc>
          <w:tcPr>
            <w:tcW w:w="307" w:type="dxa"/>
            <w:shd w:val="clear" w:color="auto" w:fill="auto"/>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257</w:t>
            </w:r>
          </w:p>
        </w:tc>
        <w:tc>
          <w:tcPr>
            <w:tcW w:w="1533" w:type="dxa"/>
            <w:shd w:val="clear" w:color="auto" w:fill="auto"/>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721.838.846</w:t>
            </w:r>
          </w:p>
        </w:tc>
        <w:tc>
          <w:tcPr>
            <w:tcW w:w="1565" w:type="dxa"/>
            <w:shd w:val="clear" w:color="auto" w:fill="auto"/>
            <w:noWrap/>
            <w:vAlign w:val="center"/>
          </w:tcPr>
          <w:p w:rsidR="00624B03" w:rsidRPr="00515A54" w:rsidRDefault="00667103" w:rsidP="00A927CF">
            <w:pPr>
              <w:autoSpaceDE w:val="0"/>
              <w:autoSpaceDN w:val="0"/>
              <w:adjustRightInd w:val="0"/>
              <w:jc w:val="right"/>
              <w:rPr>
                <w:rFonts w:cstheme="minorHAnsi"/>
                <w:sz w:val="18"/>
                <w:szCs w:val="18"/>
              </w:rPr>
            </w:pPr>
            <w:r>
              <w:rPr>
                <w:rFonts w:cstheme="minorHAnsi"/>
                <w:sz w:val="18"/>
                <w:szCs w:val="18"/>
              </w:rPr>
              <w:t>755.502.594</w:t>
            </w:r>
          </w:p>
        </w:tc>
        <w:tc>
          <w:tcPr>
            <w:tcW w:w="700" w:type="dxa"/>
            <w:shd w:val="clear" w:color="auto" w:fill="auto"/>
            <w:noWrap/>
            <w:vAlign w:val="center"/>
          </w:tcPr>
          <w:p w:rsidR="00624B03" w:rsidRPr="00515A54" w:rsidRDefault="00076E84" w:rsidP="00A927CF">
            <w:pPr>
              <w:autoSpaceDE w:val="0"/>
              <w:autoSpaceDN w:val="0"/>
              <w:adjustRightInd w:val="0"/>
              <w:jc w:val="right"/>
              <w:rPr>
                <w:rFonts w:cstheme="minorHAnsi"/>
                <w:sz w:val="18"/>
                <w:szCs w:val="18"/>
              </w:rPr>
            </w:pPr>
            <w:r>
              <w:rPr>
                <w:rFonts w:cstheme="minorHAnsi"/>
                <w:sz w:val="18"/>
                <w:szCs w:val="18"/>
              </w:rPr>
              <w:t>105</w:t>
            </w:r>
          </w:p>
        </w:tc>
      </w:tr>
      <w:tr w:rsidR="00624B03" w:rsidRPr="00515A54" w:rsidTr="009A2B8A">
        <w:trPr>
          <w:trHeight w:val="555"/>
          <w:jc w:val="center"/>
        </w:trPr>
        <w:tc>
          <w:tcPr>
            <w:tcW w:w="651" w:type="dxa"/>
            <w:noWrap/>
            <w:vAlign w:val="center"/>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381</w:t>
            </w:r>
          </w:p>
        </w:tc>
        <w:tc>
          <w:tcPr>
            <w:tcW w:w="3030" w:type="dxa"/>
            <w:noWrap/>
            <w:vAlign w:val="center"/>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Tekuće donacije</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258</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448.985.937</w:t>
            </w:r>
          </w:p>
        </w:tc>
        <w:tc>
          <w:tcPr>
            <w:tcW w:w="1565"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448.059.364</w:t>
            </w:r>
          </w:p>
        </w:tc>
        <w:tc>
          <w:tcPr>
            <w:tcW w:w="700"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100</w:t>
            </w:r>
          </w:p>
        </w:tc>
      </w:tr>
      <w:tr w:rsidR="00624B03" w:rsidRPr="00515A54" w:rsidTr="009A2B8A">
        <w:trPr>
          <w:trHeight w:val="625"/>
          <w:jc w:val="center"/>
        </w:trPr>
        <w:tc>
          <w:tcPr>
            <w:tcW w:w="651" w:type="dxa"/>
            <w:noWrap/>
            <w:vAlign w:val="center"/>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382</w:t>
            </w:r>
          </w:p>
        </w:tc>
        <w:tc>
          <w:tcPr>
            <w:tcW w:w="3030" w:type="dxa"/>
            <w:vAlign w:val="center"/>
            <w:hideMark/>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Kapitalne donacije</w:t>
            </w:r>
          </w:p>
        </w:tc>
        <w:tc>
          <w:tcPr>
            <w:tcW w:w="307" w:type="dxa"/>
            <w:noWrap/>
            <w:vAlign w:val="center"/>
          </w:tcPr>
          <w:p w:rsidR="00624B03" w:rsidRPr="00515A54" w:rsidRDefault="00624B03" w:rsidP="001B5FD7">
            <w:pPr>
              <w:autoSpaceDE w:val="0"/>
              <w:autoSpaceDN w:val="0"/>
              <w:adjustRightInd w:val="0"/>
              <w:jc w:val="both"/>
              <w:rPr>
                <w:rFonts w:cstheme="minorHAnsi"/>
                <w:sz w:val="18"/>
                <w:szCs w:val="18"/>
              </w:rPr>
            </w:pPr>
            <w:r>
              <w:rPr>
                <w:rFonts w:cstheme="minorHAnsi"/>
                <w:sz w:val="18"/>
                <w:szCs w:val="18"/>
              </w:rPr>
              <w:t xml:space="preserve">    262</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33.514.795</w:t>
            </w:r>
          </w:p>
        </w:tc>
        <w:tc>
          <w:tcPr>
            <w:tcW w:w="1565"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36.541.508</w:t>
            </w:r>
          </w:p>
        </w:tc>
        <w:tc>
          <w:tcPr>
            <w:tcW w:w="700"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109</w:t>
            </w:r>
          </w:p>
        </w:tc>
      </w:tr>
      <w:tr w:rsidR="00624B03" w:rsidRPr="00515A54" w:rsidTr="00FF4A5F">
        <w:trPr>
          <w:trHeight w:val="450"/>
          <w:jc w:val="center"/>
        </w:trPr>
        <w:tc>
          <w:tcPr>
            <w:tcW w:w="651" w:type="dxa"/>
            <w:noWrap/>
            <w:vAlign w:val="center"/>
          </w:tcPr>
          <w:p w:rsidR="00624B03" w:rsidRDefault="00624B03" w:rsidP="001B5FD7">
            <w:pPr>
              <w:autoSpaceDE w:val="0"/>
              <w:autoSpaceDN w:val="0"/>
              <w:adjustRightInd w:val="0"/>
              <w:jc w:val="both"/>
              <w:rPr>
                <w:rFonts w:cstheme="minorHAnsi"/>
                <w:sz w:val="18"/>
                <w:szCs w:val="18"/>
              </w:rPr>
            </w:pPr>
            <w:r>
              <w:rPr>
                <w:rFonts w:cstheme="minorHAnsi"/>
                <w:sz w:val="18"/>
                <w:szCs w:val="18"/>
              </w:rPr>
              <w:lastRenderedPageBreak/>
              <w:t>383</w:t>
            </w:r>
          </w:p>
        </w:tc>
        <w:tc>
          <w:tcPr>
            <w:tcW w:w="3030" w:type="dxa"/>
            <w:vAlign w:val="center"/>
          </w:tcPr>
          <w:p w:rsidR="00624B03" w:rsidRDefault="00624B03" w:rsidP="001B5FD7">
            <w:pPr>
              <w:autoSpaceDE w:val="0"/>
              <w:autoSpaceDN w:val="0"/>
              <w:adjustRightInd w:val="0"/>
              <w:jc w:val="both"/>
              <w:rPr>
                <w:rFonts w:cstheme="minorHAnsi"/>
                <w:sz w:val="18"/>
                <w:szCs w:val="18"/>
              </w:rPr>
            </w:pPr>
            <w:r>
              <w:rPr>
                <w:rFonts w:cstheme="minorHAnsi"/>
                <w:sz w:val="18"/>
                <w:szCs w:val="18"/>
              </w:rPr>
              <w:t>Kazne, penali i naknade štete</w:t>
            </w:r>
          </w:p>
        </w:tc>
        <w:tc>
          <w:tcPr>
            <w:tcW w:w="307" w:type="dxa"/>
            <w:noWrap/>
            <w:vAlign w:val="center"/>
          </w:tcPr>
          <w:p w:rsidR="00624B03" w:rsidRDefault="00624B03" w:rsidP="001B5FD7">
            <w:pPr>
              <w:autoSpaceDE w:val="0"/>
              <w:autoSpaceDN w:val="0"/>
              <w:adjustRightInd w:val="0"/>
              <w:jc w:val="both"/>
              <w:rPr>
                <w:rFonts w:cstheme="minorHAnsi"/>
                <w:sz w:val="18"/>
                <w:szCs w:val="18"/>
              </w:rPr>
            </w:pPr>
          </w:p>
          <w:p w:rsidR="00624B03" w:rsidRDefault="00624B03" w:rsidP="001B5FD7">
            <w:pPr>
              <w:autoSpaceDE w:val="0"/>
              <w:autoSpaceDN w:val="0"/>
              <w:adjustRightInd w:val="0"/>
              <w:jc w:val="both"/>
              <w:rPr>
                <w:rFonts w:cstheme="minorHAnsi"/>
                <w:sz w:val="18"/>
                <w:szCs w:val="18"/>
              </w:rPr>
            </w:pPr>
            <w:r>
              <w:rPr>
                <w:rFonts w:cstheme="minorHAnsi"/>
                <w:sz w:val="18"/>
                <w:szCs w:val="18"/>
              </w:rPr>
              <w:t>266</w:t>
            </w:r>
          </w:p>
          <w:p w:rsidR="00624B03" w:rsidRDefault="00624B03" w:rsidP="001B5FD7">
            <w:pPr>
              <w:autoSpaceDE w:val="0"/>
              <w:autoSpaceDN w:val="0"/>
              <w:adjustRightInd w:val="0"/>
              <w:jc w:val="both"/>
              <w:rPr>
                <w:rFonts w:cstheme="minorHAnsi"/>
                <w:sz w:val="18"/>
                <w:szCs w:val="18"/>
              </w:rPr>
            </w:pP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55.707.579</w:t>
            </w:r>
          </w:p>
        </w:tc>
        <w:tc>
          <w:tcPr>
            <w:tcW w:w="1565"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25.</w:t>
            </w:r>
            <w:r w:rsidR="00BD48B0">
              <w:rPr>
                <w:rFonts w:cstheme="minorHAnsi"/>
                <w:sz w:val="18"/>
                <w:szCs w:val="18"/>
              </w:rPr>
              <w:t>602.719</w:t>
            </w:r>
          </w:p>
        </w:tc>
        <w:tc>
          <w:tcPr>
            <w:tcW w:w="700"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46</w:t>
            </w:r>
          </w:p>
        </w:tc>
      </w:tr>
      <w:tr w:rsidR="00624B03" w:rsidRPr="00515A54" w:rsidTr="00FF4A5F">
        <w:trPr>
          <w:trHeight w:val="465"/>
          <w:jc w:val="center"/>
        </w:trPr>
        <w:tc>
          <w:tcPr>
            <w:tcW w:w="651" w:type="dxa"/>
            <w:noWrap/>
            <w:vAlign w:val="center"/>
          </w:tcPr>
          <w:p w:rsidR="00624B03" w:rsidRDefault="00624B03" w:rsidP="001B5FD7">
            <w:pPr>
              <w:autoSpaceDE w:val="0"/>
              <w:autoSpaceDN w:val="0"/>
              <w:adjustRightInd w:val="0"/>
              <w:jc w:val="both"/>
              <w:rPr>
                <w:rFonts w:cstheme="minorHAnsi"/>
                <w:sz w:val="18"/>
                <w:szCs w:val="18"/>
              </w:rPr>
            </w:pPr>
            <w:r>
              <w:rPr>
                <w:rFonts w:cstheme="minorHAnsi"/>
                <w:sz w:val="18"/>
                <w:szCs w:val="18"/>
              </w:rPr>
              <w:t>386</w:t>
            </w:r>
          </w:p>
        </w:tc>
        <w:tc>
          <w:tcPr>
            <w:tcW w:w="3030" w:type="dxa"/>
            <w:vAlign w:val="center"/>
          </w:tcPr>
          <w:p w:rsidR="00624B03" w:rsidRDefault="00624B03" w:rsidP="001B5FD7">
            <w:pPr>
              <w:autoSpaceDE w:val="0"/>
              <w:autoSpaceDN w:val="0"/>
              <w:adjustRightInd w:val="0"/>
              <w:jc w:val="both"/>
              <w:rPr>
                <w:rFonts w:cstheme="minorHAnsi"/>
                <w:sz w:val="18"/>
                <w:szCs w:val="18"/>
              </w:rPr>
            </w:pPr>
            <w:r>
              <w:rPr>
                <w:rFonts w:cstheme="minorHAnsi"/>
                <w:sz w:val="18"/>
                <w:szCs w:val="18"/>
              </w:rPr>
              <w:t>Kapitalne pomoći</w:t>
            </w:r>
          </w:p>
        </w:tc>
        <w:tc>
          <w:tcPr>
            <w:tcW w:w="307" w:type="dxa"/>
            <w:noWrap/>
            <w:vAlign w:val="center"/>
          </w:tcPr>
          <w:p w:rsidR="00624B03" w:rsidRDefault="00624B03" w:rsidP="001B5FD7">
            <w:pPr>
              <w:autoSpaceDE w:val="0"/>
              <w:autoSpaceDN w:val="0"/>
              <w:adjustRightInd w:val="0"/>
              <w:jc w:val="both"/>
              <w:rPr>
                <w:rFonts w:cstheme="minorHAnsi"/>
                <w:sz w:val="18"/>
                <w:szCs w:val="18"/>
              </w:rPr>
            </w:pPr>
            <w:r>
              <w:rPr>
                <w:rFonts w:cstheme="minorHAnsi"/>
                <w:sz w:val="18"/>
                <w:szCs w:val="18"/>
              </w:rPr>
              <w:t>272</w:t>
            </w:r>
          </w:p>
        </w:tc>
        <w:tc>
          <w:tcPr>
            <w:tcW w:w="1533" w:type="dxa"/>
            <w:noWrap/>
            <w:vAlign w:val="center"/>
          </w:tcPr>
          <w:p w:rsidR="00624B03" w:rsidRPr="00515A54" w:rsidRDefault="00A927CF" w:rsidP="00A927CF">
            <w:pPr>
              <w:autoSpaceDE w:val="0"/>
              <w:autoSpaceDN w:val="0"/>
              <w:adjustRightInd w:val="0"/>
              <w:jc w:val="right"/>
              <w:rPr>
                <w:rFonts w:cstheme="minorHAnsi"/>
                <w:sz w:val="18"/>
                <w:szCs w:val="18"/>
              </w:rPr>
            </w:pPr>
            <w:r>
              <w:rPr>
                <w:rFonts w:cstheme="minorHAnsi"/>
                <w:sz w:val="18"/>
                <w:szCs w:val="18"/>
              </w:rPr>
              <w:t>183.630.535</w:t>
            </w:r>
          </w:p>
        </w:tc>
        <w:tc>
          <w:tcPr>
            <w:tcW w:w="1565" w:type="dxa"/>
            <w:noWrap/>
            <w:vAlign w:val="center"/>
          </w:tcPr>
          <w:p w:rsidR="00624B03" w:rsidRPr="00515A54" w:rsidRDefault="00667103" w:rsidP="00A927CF">
            <w:pPr>
              <w:autoSpaceDE w:val="0"/>
              <w:autoSpaceDN w:val="0"/>
              <w:adjustRightInd w:val="0"/>
              <w:jc w:val="right"/>
              <w:rPr>
                <w:rFonts w:cstheme="minorHAnsi"/>
                <w:sz w:val="18"/>
                <w:szCs w:val="18"/>
              </w:rPr>
            </w:pPr>
            <w:r>
              <w:rPr>
                <w:rFonts w:cstheme="minorHAnsi"/>
                <w:sz w:val="18"/>
                <w:szCs w:val="18"/>
              </w:rPr>
              <w:t>245.299.003</w:t>
            </w:r>
          </w:p>
        </w:tc>
        <w:tc>
          <w:tcPr>
            <w:tcW w:w="700" w:type="dxa"/>
            <w:noWrap/>
            <w:vAlign w:val="center"/>
          </w:tcPr>
          <w:p w:rsidR="00624B03" w:rsidRDefault="00A927CF" w:rsidP="00A927CF">
            <w:pPr>
              <w:autoSpaceDE w:val="0"/>
              <w:autoSpaceDN w:val="0"/>
              <w:adjustRightInd w:val="0"/>
              <w:jc w:val="right"/>
              <w:rPr>
                <w:rFonts w:cstheme="minorHAnsi"/>
                <w:sz w:val="18"/>
                <w:szCs w:val="18"/>
              </w:rPr>
            </w:pPr>
            <w:r w:rsidRPr="00667103">
              <w:rPr>
                <w:rFonts w:cstheme="minorHAnsi"/>
                <w:sz w:val="18"/>
                <w:szCs w:val="18"/>
                <w:highlight w:val="yellow"/>
              </w:rPr>
              <w:t>188</w:t>
            </w:r>
          </w:p>
        </w:tc>
      </w:tr>
    </w:tbl>
    <w:p w:rsidR="00E30A88" w:rsidRDefault="00E30A88" w:rsidP="001B5FD7">
      <w:pPr>
        <w:autoSpaceDE w:val="0"/>
        <w:autoSpaceDN w:val="0"/>
        <w:adjustRightInd w:val="0"/>
        <w:spacing w:after="0" w:line="240" w:lineRule="auto"/>
        <w:jc w:val="both"/>
        <w:rPr>
          <w:rFonts w:cstheme="minorHAnsi"/>
          <w:color w:val="FF0000"/>
        </w:rPr>
      </w:pPr>
    </w:p>
    <w:p w:rsidR="00FA5DD5" w:rsidRDefault="00FA5DD5" w:rsidP="001B5FD7">
      <w:pPr>
        <w:autoSpaceDE w:val="0"/>
        <w:autoSpaceDN w:val="0"/>
        <w:adjustRightInd w:val="0"/>
        <w:spacing w:after="0" w:line="240" w:lineRule="auto"/>
        <w:jc w:val="both"/>
        <w:rPr>
          <w:rFonts w:cstheme="minorHAnsi"/>
          <w:color w:val="FF0000"/>
        </w:rPr>
      </w:pPr>
    </w:p>
    <w:p w:rsidR="00FA5DD5" w:rsidRDefault="00910D5B" w:rsidP="001B5FD7">
      <w:pPr>
        <w:autoSpaceDE w:val="0"/>
        <w:autoSpaceDN w:val="0"/>
        <w:adjustRightInd w:val="0"/>
        <w:spacing w:after="0" w:line="240" w:lineRule="auto"/>
        <w:jc w:val="both"/>
        <w:rPr>
          <w:rFonts w:cstheme="minorHAnsi"/>
        </w:rPr>
      </w:pPr>
      <w:r>
        <w:rPr>
          <w:rFonts w:cstheme="minorHAnsi"/>
          <w:b/>
        </w:rPr>
        <w:t xml:space="preserve">Rashodi za zaposlene (AOP 149) – </w:t>
      </w:r>
      <w:r w:rsidRPr="00910D5B">
        <w:rPr>
          <w:rFonts w:cstheme="minorHAnsi"/>
        </w:rPr>
        <w:t xml:space="preserve">ostvareni su u iznosu od </w:t>
      </w:r>
      <w:r w:rsidR="00A927CF">
        <w:rPr>
          <w:rFonts w:cstheme="minorHAnsi"/>
        </w:rPr>
        <w:t>522.266.599</w:t>
      </w:r>
      <w:r w:rsidRPr="00910D5B">
        <w:rPr>
          <w:rFonts w:cstheme="minorHAnsi"/>
        </w:rPr>
        <w:t xml:space="preserve"> kn</w:t>
      </w:r>
      <w:r>
        <w:rPr>
          <w:rFonts w:cstheme="minorHAnsi"/>
        </w:rPr>
        <w:t xml:space="preserve"> što je povećanje od </w:t>
      </w:r>
      <w:r w:rsidR="00A927CF">
        <w:rPr>
          <w:rFonts w:cstheme="minorHAnsi"/>
        </w:rPr>
        <w:t>7</w:t>
      </w:r>
      <w:r>
        <w:rPr>
          <w:rFonts w:cstheme="minorHAnsi"/>
        </w:rPr>
        <w:t>% u odnosu na prethodnu godinu.</w:t>
      </w:r>
      <w:r w:rsidR="00A927CF">
        <w:rPr>
          <w:rFonts w:cstheme="minorHAnsi"/>
        </w:rPr>
        <w:t xml:space="preserve"> Povećanje je </w:t>
      </w:r>
      <w:r w:rsidR="00FD2A42">
        <w:rPr>
          <w:rFonts w:cstheme="minorHAnsi"/>
        </w:rPr>
        <w:t xml:space="preserve">rashoda je </w:t>
      </w:r>
      <w:r w:rsidR="00A927CF">
        <w:rPr>
          <w:rFonts w:cstheme="minorHAnsi"/>
        </w:rPr>
        <w:t xml:space="preserve">rezultat porasta </w:t>
      </w:r>
      <w:r w:rsidR="00FD2A42">
        <w:rPr>
          <w:rFonts w:cstheme="minorHAnsi"/>
        </w:rPr>
        <w:t xml:space="preserve">osnovice za </w:t>
      </w:r>
      <w:r w:rsidR="00A927CF">
        <w:rPr>
          <w:rFonts w:cstheme="minorHAnsi"/>
        </w:rPr>
        <w:t>plać</w:t>
      </w:r>
      <w:r w:rsidR="00FD2A42">
        <w:rPr>
          <w:rFonts w:cstheme="minorHAnsi"/>
        </w:rPr>
        <w:t>u</w:t>
      </w:r>
      <w:r w:rsidR="00A927CF">
        <w:rPr>
          <w:rFonts w:cstheme="minorHAnsi"/>
        </w:rPr>
        <w:t xml:space="preserve"> za </w:t>
      </w:r>
      <w:r w:rsidR="000C7002" w:rsidRPr="002A0826">
        <w:rPr>
          <w:rFonts w:cstheme="minorHAnsi"/>
        </w:rPr>
        <w:t>2,1</w:t>
      </w:r>
      <w:r w:rsidR="00A927CF">
        <w:rPr>
          <w:rFonts w:cstheme="minorHAnsi"/>
        </w:rPr>
        <w:t>%</w:t>
      </w:r>
      <w:r w:rsidR="002A0826">
        <w:rPr>
          <w:rFonts w:cstheme="minorHAnsi"/>
        </w:rPr>
        <w:t xml:space="preserve"> od </w:t>
      </w:r>
      <w:r w:rsidR="002A0826" w:rsidRPr="00516BD8">
        <w:rPr>
          <w:rFonts w:cstheme="minorHAnsi"/>
        </w:rPr>
        <w:t>siječnja</w:t>
      </w:r>
      <w:r w:rsidR="002A0826">
        <w:rPr>
          <w:rFonts w:cstheme="minorHAnsi"/>
        </w:rPr>
        <w:t xml:space="preserve"> 2018</w:t>
      </w:r>
      <w:r w:rsidR="00ED51F8">
        <w:rPr>
          <w:rFonts w:cstheme="minorHAnsi"/>
        </w:rPr>
        <w:t>.</w:t>
      </w:r>
      <w:r w:rsidR="002A0826">
        <w:rPr>
          <w:rFonts w:cstheme="minorHAnsi"/>
        </w:rPr>
        <w:t xml:space="preserve"> te </w:t>
      </w:r>
      <w:r w:rsidR="003356D0">
        <w:rPr>
          <w:rFonts w:cstheme="minorHAnsi"/>
        </w:rPr>
        <w:t xml:space="preserve">dodatnih </w:t>
      </w:r>
      <w:r w:rsidR="002A0826">
        <w:rPr>
          <w:rFonts w:cstheme="minorHAnsi"/>
        </w:rPr>
        <w:t>2,1% od prosinca 2018. godine</w:t>
      </w:r>
      <w:r w:rsidR="00FB006D">
        <w:rPr>
          <w:rFonts w:cstheme="minorHAnsi"/>
        </w:rPr>
        <w:t xml:space="preserve"> </w:t>
      </w:r>
      <w:r w:rsidR="00A927CF">
        <w:rPr>
          <w:rFonts w:cstheme="minorHAnsi"/>
        </w:rPr>
        <w:t xml:space="preserve"> i povećanje broja zaposlenih za 3%.</w:t>
      </w:r>
      <w:r>
        <w:rPr>
          <w:rFonts w:cstheme="minorHAnsi"/>
        </w:rPr>
        <w:t xml:space="preserve"> Rashodi za zaposlene obuhvaćaju plaće, ostale rashode za zaposlene i doprinose na plaće.</w:t>
      </w:r>
    </w:p>
    <w:p w:rsidR="00910D5B" w:rsidRDefault="00910D5B" w:rsidP="001B5FD7">
      <w:pPr>
        <w:autoSpaceDE w:val="0"/>
        <w:autoSpaceDN w:val="0"/>
        <w:adjustRightInd w:val="0"/>
        <w:spacing w:after="0" w:line="240" w:lineRule="auto"/>
        <w:jc w:val="both"/>
        <w:rPr>
          <w:rFonts w:cstheme="minorHAnsi"/>
        </w:rPr>
      </w:pPr>
      <w:r w:rsidRPr="00910D5B">
        <w:rPr>
          <w:rFonts w:cstheme="minorHAnsi"/>
          <w:b/>
        </w:rPr>
        <w:t>Materijalni rashodi (AOP 160)</w:t>
      </w:r>
      <w:r>
        <w:rPr>
          <w:rFonts w:cstheme="minorHAnsi"/>
        </w:rPr>
        <w:t xml:space="preserve"> – </w:t>
      </w:r>
      <w:r w:rsidR="00FD2A42">
        <w:rPr>
          <w:rFonts w:cstheme="minorHAnsi"/>
        </w:rPr>
        <w:t>ostali su na istoj razini u odnosu na prethodnu godinu i iznose 1.80</w:t>
      </w:r>
      <w:r w:rsidR="00C4321C">
        <w:rPr>
          <w:rFonts w:cstheme="minorHAnsi"/>
        </w:rPr>
        <w:t>3</w:t>
      </w:r>
      <w:r w:rsidR="00FD2A42">
        <w:rPr>
          <w:rFonts w:cstheme="minorHAnsi"/>
        </w:rPr>
        <w:t>.</w:t>
      </w:r>
      <w:r w:rsidR="00C4321C">
        <w:rPr>
          <w:rFonts w:cstheme="minorHAnsi"/>
        </w:rPr>
        <w:t>568</w:t>
      </w:r>
      <w:r w:rsidR="00FD2A42">
        <w:rPr>
          <w:rFonts w:cstheme="minorHAnsi"/>
        </w:rPr>
        <w:t>.</w:t>
      </w:r>
      <w:r w:rsidR="00C4321C">
        <w:rPr>
          <w:rFonts w:cstheme="minorHAnsi"/>
        </w:rPr>
        <w:t>33</w:t>
      </w:r>
      <w:r w:rsidR="00FD2A42">
        <w:rPr>
          <w:rFonts w:cstheme="minorHAnsi"/>
        </w:rPr>
        <w:t>1 kn.</w:t>
      </w:r>
    </w:p>
    <w:p w:rsidR="00FD2A42" w:rsidRDefault="00397ADA" w:rsidP="001B5FD7">
      <w:pPr>
        <w:autoSpaceDE w:val="0"/>
        <w:autoSpaceDN w:val="0"/>
        <w:adjustRightInd w:val="0"/>
        <w:spacing w:after="0" w:line="240" w:lineRule="auto"/>
        <w:jc w:val="both"/>
        <w:rPr>
          <w:rFonts w:cstheme="minorHAnsi"/>
        </w:rPr>
      </w:pPr>
      <w:r w:rsidRPr="00397ADA">
        <w:rPr>
          <w:rFonts w:cstheme="minorHAnsi"/>
          <w:u w:val="single"/>
        </w:rPr>
        <w:t xml:space="preserve">Službena putovanja (AOP </w:t>
      </w:r>
      <w:r w:rsidRPr="00355F07">
        <w:rPr>
          <w:rFonts w:cstheme="minorHAnsi"/>
          <w:u w:val="single"/>
        </w:rPr>
        <w:t>162) –</w:t>
      </w:r>
      <w:r>
        <w:rPr>
          <w:rFonts w:cstheme="minorHAnsi"/>
        </w:rPr>
        <w:t xml:space="preserve"> na službena putovanja utrošeno je 2.191.498 kn što je 20% manje u odnosu na isto razdoblje prethodne godine. </w:t>
      </w:r>
    </w:p>
    <w:p w:rsidR="00355F07" w:rsidRDefault="00355F07" w:rsidP="001B5FD7">
      <w:pPr>
        <w:autoSpaceDE w:val="0"/>
        <w:autoSpaceDN w:val="0"/>
        <w:adjustRightInd w:val="0"/>
        <w:spacing w:after="0" w:line="240" w:lineRule="auto"/>
        <w:jc w:val="both"/>
        <w:rPr>
          <w:rFonts w:cstheme="minorHAnsi"/>
        </w:rPr>
      </w:pPr>
      <w:r w:rsidRPr="00355F07">
        <w:rPr>
          <w:rFonts w:cstheme="minorHAnsi"/>
          <w:u w:val="single"/>
        </w:rPr>
        <w:t xml:space="preserve">Stručno usavršavanje zaposlenika ( AOP 164) </w:t>
      </w:r>
      <w:r>
        <w:rPr>
          <w:rFonts w:cstheme="minorHAnsi"/>
          <w:u w:val="single"/>
        </w:rPr>
        <w:t>–</w:t>
      </w:r>
      <w:r w:rsidRPr="00355F07">
        <w:rPr>
          <w:rFonts w:cstheme="minorHAnsi"/>
          <w:u w:val="single"/>
        </w:rPr>
        <w:t xml:space="preserve"> </w:t>
      </w:r>
      <w:r w:rsidRPr="00355F07">
        <w:rPr>
          <w:rFonts w:cstheme="minorHAnsi"/>
        </w:rPr>
        <w:t>ovi rashodi povećali su se za 42% u odnosu na</w:t>
      </w:r>
      <w:r>
        <w:rPr>
          <w:rFonts w:cstheme="minorHAnsi"/>
          <w:u w:val="single"/>
        </w:rPr>
        <w:t xml:space="preserve"> </w:t>
      </w:r>
      <w:r w:rsidRPr="00355F07">
        <w:rPr>
          <w:rFonts w:cstheme="minorHAnsi"/>
        </w:rPr>
        <w:t>prethodnu godinu i iznose 1.887.674 kn.</w:t>
      </w:r>
      <w:r>
        <w:rPr>
          <w:rFonts w:cstheme="minorHAnsi"/>
        </w:rPr>
        <w:t xml:space="preserve"> Na seminare, savjetovanja i simpozije utrošeno je 1.544.293 kn, a na tečajeve i stručne ispite 343.381 kn.</w:t>
      </w:r>
    </w:p>
    <w:p w:rsidR="002A28F4" w:rsidRDefault="002A28F4" w:rsidP="001B5FD7">
      <w:pPr>
        <w:autoSpaceDE w:val="0"/>
        <w:autoSpaceDN w:val="0"/>
        <w:adjustRightInd w:val="0"/>
        <w:spacing w:after="0" w:line="240" w:lineRule="auto"/>
        <w:jc w:val="both"/>
        <w:rPr>
          <w:rFonts w:cstheme="minorHAnsi"/>
        </w:rPr>
      </w:pPr>
      <w:r w:rsidRPr="002A28F4">
        <w:rPr>
          <w:rFonts w:cstheme="minorHAnsi"/>
          <w:u w:val="single"/>
        </w:rPr>
        <w:t xml:space="preserve">Energija (AOP 169) </w:t>
      </w:r>
      <w:r>
        <w:rPr>
          <w:rFonts w:cstheme="minorHAnsi"/>
          <w:u w:val="single"/>
        </w:rPr>
        <w:t>–</w:t>
      </w:r>
      <w:r w:rsidRPr="002A28F4">
        <w:rPr>
          <w:rFonts w:cstheme="minorHAnsi"/>
          <w:u w:val="single"/>
        </w:rPr>
        <w:t xml:space="preserve"> </w:t>
      </w:r>
      <w:r>
        <w:rPr>
          <w:rFonts w:cstheme="minorHAnsi"/>
        </w:rPr>
        <w:t>rashodi za energiju obuhvaćaju:</w:t>
      </w:r>
    </w:p>
    <w:p w:rsidR="002A28F4" w:rsidRDefault="002A28F4" w:rsidP="002A28F4">
      <w:pPr>
        <w:pStyle w:val="ListParagraph"/>
        <w:numPr>
          <w:ilvl w:val="0"/>
          <w:numId w:val="8"/>
        </w:numPr>
        <w:autoSpaceDE w:val="0"/>
        <w:autoSpaceDN w:val="0"/>
        <w:adjustRightInd w:val="0"/>
        <w:spacing w:after="0" w:line="240" w:lineRule="auto"/>
        <w:jc w:val="both"/>
        <w:rPr>
          <w:rFonts w:cstheme="minorHAnsi"/>
        </w:rPr>
      </w:pPr>
      <w:r>
        <w:rPr>
          <w:rFonts w:cstheme="minorHAnsi"/>
        </w:rPr>
        <w:t>Troškove električne energije 5.771.832 kn,</w:t>
      </w:r>
    </w:p>
    <w:p w:rsidR="002A28F4" w:rsidRDefault="002A28F4" w:rsidP="002A28F4">
      <w:pPr>
        <w:pStyle w:val="ListParagraph"/>
        <w:numPr>
          <w:ilvl w:val="0"/>
          <w:numId w:val="8"/>
        </w:numPr>
        <w:autoSpaceDE w:val="0"/>
        <w:autoSpaceDN w:val="0"/>
        <w:adjustRightInd w:val="0"/>
        <w:spacing w:after="0" w:line="240" w:lineRule="auto"/>
        <w:jc w:val="both"/>
        <w:rPr>
          <w:rFonts w:cstheme="minorHAnsi"/>
        </w:rPr>
      </w:pPr>
      <w:r>
        <w:rPr>
          <w:rFonts w:cstheme="minorHAnsi"/>
        </w:rPr>
        <w:t>Električna energija za javnu rasvjetu 50.019.307 kn</w:t>
      </w:r>
    </w:p>
    <w:p w:rsidR="002A28F4" w:rsidRDefault="002A28F4" w:rsidP="002A28F4">
      <w:pPr>
        <w:pStyle w:val="ListParagraph"/>
        <w:numPr>
          <w:ilvl w:val="0"/>
          <w:numId w:val="8"/>
        </w:numPr>
        <w:autoSpaceDE w:val="0"/>
        <w:autoSpaceDN w:val="0"/>
        <w:adjustRightInd w:val="0"/>
        <w:spacing w:after="0" w:line="240" w:lineRule="auto"/>
        <w:jc w:val="both"/>
        <w:rPr>
          <w:rFonts w:cstheme="minorHAnsi"/>
        </w:rPr>
      </w:pPr>
      <w:r>
        <w:rPr>
          <w:rFonts w:cstheme="minorHAnsi"/>
        </w:rPr>
        <w:t>Troškovi tople vode (toplana) 3.487.383 kn,</w:t>
      </w:r>
    </w:p>
    <w:p w:rsidR="002A28F4" w:rsidRDefault="002A28F4" w:rsidP="002A28F4">
      <w:pPr>
        <w:pStyle w:val="ListParagraph"/>
        <w:numPr>
          <w:ilvl w:val="0"/>
          <w:numId w:val="8"/>
        </w:numPr>
        <w:autoSpaceDE w:val="0"/>
        <w:autoSpaceDN w:val="0"/>
        <w:adjustRightInd w:val="0"/>
        <w:spacing w:after="0" w:line="240" w:lineRule="auto"/>
        <w:jc w:val="both"/>
        <w:rPr>
          <w:rFonts w:cstheme="minorHAnsi"/>
        </w:rPr>
      </w:pPr>
      <w:r>
        <w:rPr>
          <w:rFonts w:cstheme="minorHAnsi"/>
        </w:rPr>
        <w:t>Troškovi plina 4.566.887 kn,</w:t>
      </w:r>
    </w:p>
    <w:p w:rsidR="002A28F4" w:rsidRDefault="002A28F4" w:rsidP="002A28F4">
      <w:pPr>
        <w:pStyle w:val="ListParagraph"/>
        <w:numPr>
          <w:ilvl w:val="0"/>
          <w:numId w:val="8"/>
        </w:numPr>
        <w:autoSpaceDE w:val="0"/>
        <w:autoSpaceDN w:val="0"/>
        <w:adjustRightInd w:val="0"/>
        <w:spacing w:after="0" w:line="240" w:lineRule="auto"/>
        <w:jc w:val="both"/>
        <w:rPr>
          <w:rFonts w:cstheme="minorHAnsi"/>
        </w:rPr>
      </w:pPr>
      <w:r>
        <w:rPr>
          <w:rFonts w:cstheme="minorHAnsi"/>
        </w:rPr>
        <w:t>Motorni benzin i dizel gorivo 2.057.995 kn,</w:t>
      </w:r>
    </w:p>
    <w:p w:rsidR="002A28F4" w:rsidRPr="002A28F4" w:rsidRDefault="002A28F4" w:rsidP="002A28F4">
      <w:pPr>
        <w:pStyle w:val="ListParagraph"/>
        <w:numPr>
          <w:ilvl w:val="0"/>
          <w:numId w:val="8"/>
        </w:numPr>
        <w:autoSpaceDE w:val="0"/>
        <w:autoSpaceDN w:val="0"/>
        <w:adjustRightInd w:val="0"/>
        <w:spacing w:after="0" w:line="240" w:lineRule="auto"/>
        <w:jc w:val="both"/>
        <w:rPr>
          <w:rFonts w:cstheme="minorHAnsi"/>
        </w:rPr>
      </w:pPr>
      <w:r>
        <w:rPr>
          <w:rFonts w:cstheme="minorHAnsi"/>
        </w:rPr>
        <w:t>Troškovi ostalih materijala za proizvodnju energije (ugljen drva, teško ulje) 1.038.607 kn.</w:t>
      </w:r>
    </w:p>
    <w:p w:rsidR="002A28F4" w:rsidRDefault="002A28F4" w:rsidP="001B5FD7">
      <w:pPr>
        <w:autoSpaceDE w:val="0"/>
        <w:autoSpaceDN w:val="0"/>
        <w:adjustRightInd w:val="0"/>
        <w:spacing w:after="0" w:line="240" w:lineRule="auto"/>
        <w:jc w:val="both"/>
        <w:rPr>
          <w:rFonts w:cstheme="minorHAnsi"/>
          <w:u w:val="single"/>
        </w:rPr>
      </w:pPr>
    </w:p>
    <w:p w:rsidR="002A28F4" w:rsidRDefault="002A28F4" w:rsidP="001B5FD7">
      <w:pPr>
        <w:autoSpaceDE w:val="0"/>
        <w:autoSpaceDN w:val="0"/>
        <w:adjustRightInd w:val="0"/>
        <w:spacing w:after="0" w:line="240" w:lineRule="auto"/>
        <w:jc w:val="both"/>
        <w:rPr>
          <w:rFonts w:cstheme="minorHAnsi"/>
          <w:u w:val="single"/>
        </w:rPr>
      </w:pPr>
      <w:r>
        <w:rPr>
          <w:rFonts w:cstheme="minorHAnsi"/>
          <w:u w:val="single"/>
        </w:rPr>
        <w:t>Materijal i dijelovi za tekuće i investicijsko održavanje (AOP 170) -</w:t>
      </w:r>
      <w:r w:rsidR="00AE5B88">
        <w:rPr>
          <w:rFonts w:cstheme="minorHAnsi"/>
        </w:rPr>
        <w:t xml:space="preserve"> materijal i dijelovi za tekuće i investicijsko održavanje utrošeni su u iznosu 2.072.261 kn, što je za 11% manje u odnosu na prethodnu godinu.</w:t>
      </w:r>
    </w:p>
    <w:p w:rsidR="001B46C1" w:rsidRDefault="001B46C1" w:rsidP="001B5FD7">
      <w:pPr>
        <w:autoSpaceDE w:val="0"/>
        <w:autoSpaceDN w:val="0"/>
        <w:adjustRightInd w:val="0"/>
        <w:spacing w:after="0" w:line="240" w:lineRule="auto"/>
        <w:jc w:val="both"/>
        <w:rPr>
          <w:rFonts w:cstheme="minorHAnsi"/>
        </w:rPr>
      </w:pPr>
      <w:r w:rsidRPr="001B46C1">
        <w:rPr>
          <w:rFonts w:cstheme="minorHAnsi"/>
          <w:u w:val="single"/>
        </w:rPr>
        <w:t xml:space="preserve">Usluge telefona pošte i prijevoza (AOP 175) </w:t>
      </w:r>
      <w:r>
        <w:rPr>
          <w:rFonts w:cstheme="minorHAnsi"/>
          <w:u w:val="single"/>
        </w:rPr>
        <w:t>–</w:t>
      </w:r>
      <w:r w:rsidRPr="001B46C1">
        <w:rPr>
          <w:rFonts w:cstheme="minorHAnsi"/>
          <w:u w:val="single"/>
        </w:rPr>
        <w:t xml:space="preserve"> </w:t>
      </w:r>
      <w:r>
        <w:rPr>
          <w:rFonts w:cstheme="minorHAnsi"/>
        </w:rPr>
        <w:t xml:space="preserve">ostvareni su u iznosu od </w:t>
      </w:r>
      <w:r w:rsidR="00AE5B88">
        <w:rPr>
          <w:rFonts w:cstheme="minorHAnsi"/>
        </w:rPr>
        <w:t>11.538.306</w:t>
      </w:r>
      <w:r>
        <w:rPr>
          <w:rFonts w:cstheme="minorHAnsi"/>
        </w:rPr>
        <w:t xml:space="preserve"> kn. Ovi rashodi su za </w:t>
      </w:r>
      <w:r w:rsidR="00AE5B88">
        <w:rPr>
          <w:rFonts w:cstheme="minorHAnsi"/>
        </w:rPr>
        <w:t>4</w:t>
      </w:r>
      <w:r>
        <w:rPr>
          <w:rFonts w:cstheme="minorHAnsi"/>
        </w:rPr>
        <w:t xml:space="preserve">% </w:t>
      </w:r>
      <w:r w:rsidR="00AE5B88">
        <w:rPr>
          <w:rFonts w:cstheme="minorHAnsi"/>
        </w:rPr>
        <w:t>manji</w:t>
      </w:r>
      <w:r>
        <w:rPr>
          <w:rFonts w:cstheme="minorHAnsi"/>
        </w:rPr>
        <w:t xml:space="preserve"> u odnosu na prethodnu godinu. </w:t>
      </w:r>
      <w:r w:rsidR="00B36F34">
        <w:rPr>
          <w:rFonts w:cstheme="minorHAnsi"/>
        </w:rPr>
        <w:t>Do smanjenja je došlo na stavkama t</w:t>
      </w:r>
      <w:r>
        <w:rPr>
          <w:rFonts w:cstheme="minorHAnsi"/>
        </w:rPr>
        <w:t>roškov</w:t>
      </w:r>
      <w:r w:rsidR="00B36F34">
        <w:rPr>
          <w:rFonts w:cstheme="minorHAnsi"/>
        </w:rPr>
        <w:t>a</w:t>
      </w:r>
      <w:r>
        <w:rPr>
          <w:rFonts w:cstheme="minorHAnsi"/>
        </w:rPr>
        <w:t xml:space="preserve"> telefona</w:t>
      </w:r>
      <w:r w:rsidR="00B36F34">
        <w:rPr>
          <w:rFonts w:cstheme="minorHAnsi"/>
        </w:rPr>
        <w:t>,</w:t>
      </w:r>
      <w:r>
        <w:rPr>
          <w:rFonts w:cstheme="minorHAnsi"/>
        </w:rPr>
        <w:t xml:space="preserve"> telefaxa i mobitela </w:t>
      </w:r>
      <w:r w:rsidR="00B36F34">
        <w:rPr>
          <w:rFonts w:cstheme="minorHAnsi"/>
        </w:rPr>
        <w:t xml:space="preserve">koji u ovoj godini iznose 3.315.678 kn </w:t>
      </w:r>
      <w:r>
        <w:rPr>
          <w:rFonts w:cstheme="minorHAnsi"/>
        </w:rPr>
        <w:t xml:space="preserve"> i uslug</w:t>
      </w:r>
      <w:r w:rsidR="00B36F34">
        <w:rPr>
          <w:rFonts w:cstheme="minorHAnsi"/>
        </w:rPr>
        <w:t>ama</w:t>
      </w:r>
      <w:r>
        <w:rPr>
          <w:rFonts w:cstheme="minorHAnsi"/>
        </w:rPr>
        <w:t xml:space="preserve"> za komunikacije i prijevoz </w:t>
      </w:r>
      <w:r w:rsidR="00B36F34">
        <w:rPr>
          <w:rFonts w:cstheme="minorHAnsi"/>
        </w:rPr>
        <w:t xml:space="preserve">koje iznose </w:t>
      </w:r>
      <w:r>
        <w:rPr>
          <w:rFonts w:cstheme="minorHAnsi"/>
        </w:rPr>
        <w:t>1.</w:t>
      </w:r>
      <w:r w:rsidR="00B36F34">
        <w:rPr>
          <w:rFonts w:cstheme="minorHAnsi"/>
        </w:rPr>
        <w:t>036.777</w:t>
      </w:r>
      <w:r>
        <w:rPr>
          <w:rFonts w:cstheme="minorHAnsi"/>
        </w:rPr>
        <w:t xml:space="preserve"> kn.</w:t>
      </w:r>
      <w:r w:rsidR="00B36F34">
        <w:rPr>
          <w:rFonts w:cstheme="minorHAnsi"/>
        </w:rPr>
        <w:t xml:space="preserve"> Troškovi poštarine iznose 6.509.697 kn. </w:t>
      </w:r>
    </w:p>
    <w:p w:rsidR="001B46C1" w:rsidRDefault="001B46C1" w:rsidP="001B5FD7">
      <w:pPr>
        <w:autoSpaceDE w:val="0"/>
        <w:autoSpaceDN w:val="0"/>
        <w:adjustRightInd w:val="0"/>
        <w:spacing w:after="0" w:line="240" w:lineRule="auto"/>
        <w:jc w:val="both"/>
        <w:rPr>
          <w:rFonts w:cstheme="minorHAnsi"/>
        </w:rPr>
      </w:pPr>
      <w:r w:rsidRPr="00FB52A1">
        <w:rPr>
          <w:rFonts w:cstheme="minorHAnsi"/>
          <w:u w:val="single"/>
        </w:rPr>
        <w:t>Usluge promi</w:t>
      </w:r>
      <w:r w:rsidR="00FB52A1" w:rsidRPr="00FB52A1">
        <w:rPr>
          <w:rFonts w:cstheme="minorHAnsi"/>
          <w:u w:val="single"/>
        </w:rPr>
        <w:t>dž</w:t>
      </w:r>
      <w:r w:rsidRPr="00FB52A1">
        <w:rPr>
          <w:rFonts w:cstheme="minorHAnsi"/>
          <w:u w:val="single"/>
        </w:rPr>
        <w:t xml:space="preserve">be i informiranja (AOP </w:t>
      </w:r>
      <w:r w:rsidR="00FB52A1" w:rsidRPr="00FB52A1">
        <w:rPr>
          <w:rFonts w:cstheme="minorHAnsi"/>
          <w:u w:val="single"/>
        </w:rPr>
        <w:t>177</w:t>
      </w:r>
      <w:r w:rsidR="00FB52A1">
        <w:rPr>
          <w:rFonts w:cstheme="minorHAnsi"/>
        </w:rPr>
        <w:t xml:space="preserve">) – iznose </w:t>
      </w:r>
      <w:r w:rsidR="002A7B42">
        <w:rPr>
          <w:rFonts w:cstheme="minorHAnsi"/>
        </w:rPr>
        <w:t>7.436.956</w:t>
      </w:r>
      <w:r w:rsidR="00FB52A1">
        <w:rPr>
          <w:rFonts w:cstheme="minorHAnsi"/>
        </w:rPr>
        <w:t xml:space="preserve"> kn što je </w:t>
      </w:r>
      <w:r w:rsidR="002A7B42">
        <w:rPr>
          <w:rFonts w:cstheme="minorHAnsi"/>
        </w:rPr>
        <w:t>smanjenje</w:t>
      </w:r>
      <w:r w:rsidR="00FB52A1">
        <w:rPr>
          <w:rFonts w:cstheme="minorHAnsi"/>
        </w:rPr>
        <w:t xml:space="preserve"> za </w:t>
      </w:r>
      <w:r w:rsidR="002A7B42">
        <w:rPr>
          <w:rFonts w:cstheme="minorHAnsi"/>
        </w:rPr>
        <w:t>48</w:t>
      </w:r>
      <w:r w:rsidR="00FB52A1">
        <w:rPr>
          <w:rFonts w:cstheme="minorHAnsi"/>
        </w:rPr>
        <w:t xml:space="preserve">% u odnosu na prethodnu godinu. </w:t>
      </w:r>
      <w:r w:rsidR="002A7B42">
        <w:rPr>
          <w:rFonts w:cstheme="minorHAnsi"/>
        </w:rPr>
        <w:t>Do smanjenja je došlo na svim stavkama rashoda tako da u 2018. godini rashodi za</w:t>
      </w:r>
      <w:r w:rsidR="00FB52A1">
        <w:rPr>
          <w:rFonts w:cstheme="minorHAnsi"/>
        </w:rPr>
        <w:t>: elektronsk</w:t>
      </w:r>
      <w:r w:rsidR="002A7B42">
        <w:rPr>
          <w:rFonts w:cstheme="minorHAnsi"/>
        </w:rPr>
        <w:t>e</w:t>
      </w:r>
      <w:r w:rsidR="00FB52A1">
        <w:rPr>
          <w:rFonts w:cstheme="minorHAnsi"/>
        </w:rPr>
        <w:t xml:space="preserve"> medij</w:t>
      </w:r>
      <w:r w:rsidR="002A7B42">
        <w:rPr>
          <w:rFonts w:cstheme="minorHAnsi"/>
        </w:rPr>
        <w:t>e iznose 607.986 kn</w:t>
      </w:r>
      <w:r w:rsidR="00FB52A1">
        <w:rPr>
          <w:rFonts w:cstheme="minorHAnsi"/>
        </w:rPr>
        <w:t xml:space="preserve">, tisak </w:t>
      </w:r>
      <w:r w:rsidR="002A7B42">
        <w:rPr>
          <w:rFonts w:cstheme="minorHAnsi"/>
        </w:rPr>
        <w:t>2.104.940</w:t>
      </w:r>
      <w:r w:rsidR="00FB52A1">
        <w:rPr>
          <w:rFonts w:cstheme="minorHAnsi"/>
        </w:rPr>
        <w:t xml:space="preserve"> kn, promidžbeni materijali </w:t>
      </w:r>
      <w:r w:rsidR="002A7B42">
        <w:rPr>
          <w:rFonts w:cstheme="minorHAnsi"/>
        </w:rPr>
        <w:t>247.071</w:t>
      </w:r>
      <w:r w:rsidR="00FB52A1">
        <w:rPr>
          <w:rFonts w:cstheme="minorHAnsi"/>
        </w:rPr>
        <w:t xml:space="preserve"> kn i ostale usluge promidžbe i informiranja </w:t>
      </w:r>
      <w:r w:rsidR="002A7B42">
        <w:rPr>
          <w:rFonts w:cstheme="minorHAnsi"/>
        </w:rPr>
        <w:t>4.476.959</w:t>
      </w:r>
      <w:r w:rsidR="00FB52A1">
        <w:rPr>
          <w:rFonts w:cstheme="minorHAnsi"/>
        </w:rPr>
        <w:t xml:space="preserve"> kn.</w:t>
      </w:r>
    </w:p>
    <w:p w:rsidR="00950A5E" w:rsidRDefault="00950A5E" w:rsidP="001B5FD7">
      <w:pPr>
        <w:autoSpaceDE w:val="0"/>
        <w:autoSpaceDN w:val="0"/>
        <w:adjustRightInd w:val="0"/>
        <w:spacing w:after="0" w:line="240" w:lineRule="auto"/>
        <w:jc w:val="both"/>
        <w:rPr>
          <w:rFonts w:cstheme="minorHAnsi"/>
        </w:rPr>
      </w:pPr>
      <w:r w:rsidRPr="00950A5E">
        <w:rPr>
          <w:rFonts w:cstheme="minorHAnsi"/>
          <w:u w:val="single"/>
        </w:rPr>
        <w:t>Komunalne usluge (AOP 178)</w:t>
      </w:r>
      <w:r>
        <w:rPr>
          <w:rFonts w:cstheme="minorHAnsi"/>
        </w:rPr>
        <w:t xml:space="preserve"> – troškovi komunalnih usluga iznose 84.614.042 kn što je za 57% više u odnosu na prethodnu godinu. U okviru ove skupine rashoda iskazani su:</w:t>
      </w:r>
    </w:p>
    <w:p w:rsidR="00950A5E" w:rsidRDefault="00950A5E" w:rsidP="00950A5E">
      <w:pPr>
        <w:pStyle w:val="ListParagraph"/>
        <w:numPr>
          <w:ilvl w:val="0"/>
          <w:numId w:val="8"/>
        </w:numPr>
        <w:autoSpaceDE w:val="0"/>
        <w:autoSpaceDN w:val="0"/>
        <w:adjustRightInd w:val="0"/>
        <w:spacing w:after="0" w:line="240" w:lineRule="auto"/>
        <w:jc w:val="both"/>
        <w:rPr>
          <w:rFonts w:cstheme="minorHAnsi"/>
        </w:rPr>
      </w:pPr>
      <w:r>
        <w:rPr>
          <w:rFonts w:cstheme="minorHAnsi"/>
        </w:rPr>
        <w:t>Troškovi opskrbe vodom 2.674.024 kn,</w:t>
      </w:r>
    </w:p>
    <w:p w:rsidR="00950A5E" w:rsidRDefault="00950A5E" w:rsidP="00950A5E">
      <w:pPr>
        <w:pStyle w:val="ListParagraph"/>
        <w:numPr>
          <w:ilvl w:val="0"/>
          <w:numId w:val="8"/>
        </w:numPr>
        <w:autoSpaceDE w:val="0"/>
        <w:autoSpaceDN w:val="0"/>
        <w:adjustRightInd w:val="0"/>
        <w:spacing w:after="0" w:line="240" w:lineRule="auto"/>
        <w:jc w:val="both"/>
        <w:rPr>
          <w:rFonts w:cstheme="minorHAnsi"/>
        </w:rPr>
      </w:pPr>
      <w:r>
        <w:rPr>
          <w:rFonts w:cstheme="minorHAnsi"/>
        </w:rPr>
        <w:t>Iznošenje i odvoz smeća 996.329 kn,</w:t>
      </w:r>
    </w:p>
    <w:p w:rsidR="00950A5E" w:rsidRDefault="00950A5E" w:rsidP="00950A5E">
      <w:pPr>
        <w:pStyle w:val="ListParagraph"/>
        <w:numPr>
          <w:ilvl w:val="0"/>
          <w:numId w:val="8"/>
        </w:numPr>
        <w:autoSpaceDE w:val="0"/>
        <w:autoSpaceDN w:val="0"/>
        <w:adjustRightInd w:val="0"/>
        <w:spacing w:after="0" w:line="240" w:lineRule="auto"/>
        <w:jc w:val="both"/>
        <w:rPr>
          <w:rFonts w:cstheme="minorHAnsi"/>
        </w:rPr>
      </w:pPr>
      <w:r>
        <w:rPr>
          <w:rFonts w:cstheme="minorHAnsi"/>
        </w:rPr>
        <w:t>Deratizacija i dezinsekcija 10.073.399 kn,</w:t>
      </w:r>
    </w:p>
    <w:p w:rsidR="00950A5E" w:rsidRDefault="00950A5E" w:rsidP="00950A5E">
      <w:pPr>
        <w:pStyle w:val="ListParagraph"/>
        <w:numPr>
          <w:ilvl w:val="0"/>
          <w:numId w:val="8"/>
        </w:numPr>
        <w:autoSpaceDE w:val="0"/>
        <w:autoSpaceDN w:val="0"/>
        <w:adjustRightInd w:val="0"/>
        <w:spacing w:after="0" w:line="240" w:lineRule="auto"/>
        <w:jc w:val="both"/>
        <w:rPr>
          <w:rFonts w:cstheme="minorHAnsi"/>
        </w:rPr>
      </w:pPr>
      <w:r>
        <w:rPr>
          <w:rFonts w:cstheme="minorHAnsi"/>
        </w:rPr>
        <w:t>Dimnjačarske i ekološke usluge 232.658 kn,</w:t>
      </w:r>
    </w:p>
    <w:p w:rsidR="00950A5E" w:rsidRDefault="00950A5E" w:rsidP="00950A5E">
      <w:pPr>
        <w:pStyle w:val="ListParagraph"/>
        <w:numPr>
          <w:ilvl w:val="0"/>
          <w:numId w:val="8"/>
        </w:numPr>
        <w:autoSpaceDE w:val="0"/>
        <w:autoSpaceDN w:val="0"/>
        <w:adjustRightInd w:val="0"/>
        <w:spacing w:after="0" w:line="240" w:lineRule="auto"/>
        <w:jc w:val="both"/>
        <w:rPr>
          <w:rFonts w:cstheme="minorHAnsi"/>
        </w:rPr>
      </w:pPr>
      <w:r>
        <w:rPr>
          <w:rFonts w:cstheme="minorHAnsi"/>
        </w:rPr>
        <w:t>Pričuva 26.137.342 kn,</w:t>
      </w:r>
    </w:p>
    <w:p w:rsidR="00950A5E" w:rsidRPr="00950A5E" w:rsidRDefault="00950A5E" w:rsidP="00950A5E">
      <w:pPr>
        <w:pStyle w:val="ListParagraph"/>
        <w:numPr>
          <w:ilvl w:val="0"/>
          <w:numId w:val="8"/>
        </w:numPr>
        <w:autoSpaceDE w:val="0"/>
        <w:autoSpaceDN w:val="0"/>
        <w:adjustRightInd w:val="0"/>
        <w:spacing w:after="0" w:line="240" w:lineRule="auto"/>
        <w:jc w:val="both"/>
        <w:rPr>
          <w:rFonts w:cstheme="minorHAnsi"/>
        </w:rPr>
      </w:pPr>
      <w:r>
        <w:rPr>
          <w:rFonts w:cstheme="minorHAnsi"/>
        </w:rPr>
        <w:t>Ostale komunalne usluge 44.500.290 kn.</w:t>
      </w:r>
    </w:p>
    <w:p w:rsidR="00FB52A1" w:rsidRDefault="004264FE" w:rsidP="001B5FD7">
      <w:pPr>
        <w:autoSpaceDE w:val="0"/>
        <w:autoSpaceDN w:val="0"/>
        <w:adjustRightInd w:val="0"/>
        <w:spacing w:after="0" w:line="240" w:lineRule="auto"/>
        <w:jc w:val="both"/>
        <w:rPr>
          <w:rFonts w:cstheme="minorHAnsi"/>
        </w:rPr>
      </w:pPr>
      <w:r>
        <w:rPr>
          <w:rFonts w:cstheme="minorHAnsi"/>
          <w:u w:val="single"/>
        </w:rPr>
        <w:t xml:space="preserve">Zakupnine i najamnine (AOP </w:t>
      </w:r>
      <w:r w:rsidR="00394B92">
        <w:rPr>
          <w:rFonts w:cstheme="minorHAnsi"/>
          <w:u w:val="single"/>
        </w:rPr>
        <w:t>179</w:t>
      </w:r>
      <w:r w:rsidR="00C8382A" w:rsidRPr="00C8382A">
        <w:rPr>
          <w:rFonts w:cstheme="minorHAnsi"/>
          <w:u w:val="single"/>
        </w:rPr>
        <w:t>)</w:t>
      </w:r>
      <w:r w:rsidR="00C8382A">
        <w:rPr>
          <w:rFonts w:cstheme="minorHAnsi"/>
        </w:rPr>
        <w:t xml:space="preserve"> – iznose </w:t>
      </w:r>
      <w:r w:rsidR="00394B92">
        <w:rPr>
          <w:rFonts w:cstheme="minorHAnsi"/>
        </w:rPr>
        <w:t>471.212.955</w:t>
      </w:r>
      <w:r w:rsidR="00C8382A">
        <w:rPr>
          <w:rFonts w:cstheme="minorHAnsi"/>
        </w:rPr>
        <w:t xml:space="preserve"> kn što je </w:t>
      </w:r>
      <w:r w:rsidR="00394B92">
        <w:rPr>
          <w:rFonts w:cstheme="minorHAnsi"/>
        </w:rPr>
        <w:t>4</w:t>
      </w:r>
      <w:r w:rsidR="00C8382A">
        <w:rPr>
          <w:rFonts w:cstheme="minorHAnsi"/>
        </w:rPr>
        <w:t xml:space="preserve">% više u odnosu na prethodnu godinu. </w:t>
      </w:r>
      <w:r w:rsidR="002923C2" w:rsidRPr="006B7D4D">
        <w:rPr>
          <w:rFonts w:cstheme="minorHAnsi"/>
        </w:rPr>
        <w:t xml:space="preserve">Do povećanja u odnosu na prethodnu godinu je došlo zbog završetka stanova u naselju Podbrežje te početka otplate najma. Na ovom AOP-u </w:t>
      </w:r>
      <w:r w:rsidR="00394B92" w:rsidRPr="006B7D4D">
        <w:rPr>
          <w:rFonts w:cstheme="minorHAnsi"/>
        </w:rPr>
        <w:t>su evidentira</w:t>
      </w:r>
      <w:r w:rsidR="00394B92">
        <w:rPr>
          <w:rFonts w:cstheme="minorHAnsi"/>
        </w:rPr>
        <w:t>ne zakupnine i naj</w:t>
      </w:r>
      <w:r w:rsidR="00251C5D">
        <w:rPr>
          <w:rFonts w:cstheme="minorHAnsi"/>
        </w:rPr>
        <w:t>a</w:t>
      </w:r>
      <w:r w:rsidR="00394B92">
        <w:rPr>
          <w:rFonts w:cstheme="minorHAnsi"/>
        </w:rPr>
        <w:t xml:space="preserve">mnine zemljišta 491.174 kn, opreme 2.892.560 kn, prijevoznih sredstava 4.313.464, ostale zakupnine i najamnine </w:t>
      </w:r>
      <w:r w:rsidR="0041091A">
        <w:rPr>
          <w:rFonts w:cstheme="minorHAnsi"/>
        </w:rPr>
        <w:t>4.</w:t>
      </w:r>
      <w:r w:rsidR="00C4321C">
        <w:rPr>
          <w:rFonts w:cstheme="minorHAnsi"/>
        </w:rPr>
        <w:t>506.775</w:t>
      </w:r>
      <w:r w:rsidR="0041091A">
        <w:rPr>
          <w:rFonts w:cstheme="minorHAnsi"/>
        </w:rPr>
        <w:t xml:space="preserve"> kn i zakupnine i najamnine za građevinske objekte 459.</w:t>
      </w:r>
      <w:r w:rsidR="00C4321C">
        <w:rPr>
          <w:rFonts w:cstheme="minorHAnsi"/>
        </w:rPr>
        <w:t>008.982</w:t>
      </w:r>
      <w:r w:rsidR="0041091A">
        <w:rPr>
          <w:rFonts w:cstheme="minorHAnsi"/>
        </w:rPr>
        <w:t xml:space="preserve"> kn.</w:t>
      </w:r>
      <w:r w:rsidR="00251C5D">
        <w:rPr>
          <w:rFonts w:cstheme="minorHAnsi"/>
        </w:rPr>
        <w:t xml:space="preserve"> Zakupnine i najamnine za građevinske objekte odnose se na zakupnine za pojedine dječje vrtiće, osnovne i srednje škole koje terete Gradski ured za obrazovanje (114.981.926 kn), zakupninu za ustanovu hitne medicinske </w:t>
      </w:r>
      <w:r w:rsidR="00251C5D">
        <w:rPr>
          <w:rFonts w:cstheme="minorHAnsi"/>
        </w:rPr>
        <w:lastRenderedPageBreak/>
        <w:t>pomoći te pojedine ambulante i domove zdravlja koje terete Gradski ured za zdravstvo (33.032.339), zakup bazena Iver, SRC Svetice i plivališta SŠ Jelkovec koje terete Gradski ured za sport i mlade (12.381.014 kn)</w:t>
      </w:r>
      <w:r w:rsidR="002923C2">
        <w:rPr>
          <w:rFonts w:cstheme="minorHAnsi"/>
        </w:rPr>
        <w:t xml:space="preserve">, zakupnine stanova i poslovnih prostora u naseljima Sopnica Jelkovec i Podbrežje koje terete Gradski ured za imovinsko pravne poslove i imovinu grada ( 233.455.045 kn) te druge zakupnine. </w:t>
      </w:r>
    </w:p>
    <w:p w:rsidR="00DD4451" w:rsidRDefault="00DD4451" w:rsidP="001B5FD7">
      <w:pPr>
        <w:jc w:val="both"/>
        <w:rPr>
          <w:rFonts w:ascii="Calibri" w:hAnsi="Calibri"/>
        </w:rPr>
      </w:pPr>
      <w:r w:rsidRPr="00DD4451">
        <w:rPr>
          <w:rFonts w:ascii="Calibri" w:hAnsi="Calibri"/>
          <w:u w:val="single"/>
        </w:rPr>
        <w:t>Ostali nespomenuti rashodi poslovanja (AOP 192)</w:t>
      </w:r>
      <w:r>
        <w:rPr>
          <w:rFonts w:ascii="Calibri" w:hAnsi="Calibri"/>
          <w:b/>
        </w:rPr>
        <w:t xml:space="preserve"> </w:t>
      </w:r>
      <w:r w:rsidRPr="00226042">
        <w:rPr>
          <w:rFonts w:ascii="Calibri" w:hAnsi="Calibri"/>
        </w:rPr>
        <w:t>ostvareni su u iznosu</w:t>
      </w:r>
      <w:r>
        <w:rPr>
          <w:rFonts w:ascii="Calibri" w:hAnsi="Calibri"/>
        </w:rPr>
        <w:t xml:space="preserve"> od </w:t>
      </w:r>
      <w:r w:rsidR="00DC530F">
        <w:rPr>
          <w:rFonts w:ascii="Calibri" w:hAnsi="Calibri"/>
        </w:rPr>
        <w:t>12.</w:t>
      </w:r>
      <w:r w:rsidR="00C4321C">
        <w:rPr>
          <w:rFonts w:ascii="Calibri" w:hAnsi="Calibri"/>
        </w:rPr>
        <w:t>762.627</w:t>
      </w:r>
      <w:r>
        <w:rPr>
          <w:rFonts w:ascii="Calibri" w:hAnsi="Calibri"/>
        </w:rPr>
        <w:t xml:space="preserve"> kn što je za </w:t>
      </w:r>
      <w:r w:rsidR="00C4321C">
        <w:rPr>
          <w:rFonts w:ascii="Calibri" w:hAnsi="Calibri"/>
        </w:rPr>
        <w:t>39</w:t>
      </w:r>
      <w:r w:rsidR="00766BEE">
        <w:rPr>
          <w:rFonts w:ascii="Calibri" w:hAnsi="Calibri"/>
        </w:rPr>
        <w:t>%</w:t>
      </w:r>
      <w:r>
        <w:rPr>
          <w:rFonts w:ascii="Calibri" w:hAnsi="Calibri"/>
        </w:rPr>
        <w:t xml:space="preserve"> </w:t>
      </w:r>
      <w:r w:rsidR="00DC530F">
        <w:rPr>
          <w:rFonts w:ascii="Calibri" w:hAnsi="Calibri"/>
        </w:rPr>
        <w:t>manje</w:t>
      </w:r>
      <w:r>
        <w:rPr>
          <w:rFonts w:ascii="Calibri" w:hAnsi="Calibri"/>
        </w:rPr>
        <w:t xml:space="preserve"> nego </w:t>
      </w:r>
      <w:r w:rsidR="00766BEE">
        <w:rPr>
          <w:rFonts w:ascii="Calibri" w:hAnsi="Calibri"/>
        </w:rPr>
        <w:t>prošloj</w:t>
      </w:r>
      <w:r>
        <w:rPr>
          <w:rFonts w:ascii="Calibri" w:hAnsi="Calibri"/>
        </w:rPr>
        <w:t xml:space="preserve"> godin</w:t>
      </w:r>
      <w:r w:rsidR="00766BEE">
        <w:rPr>
          <w:rFonts w:ascii="Calibri" w:hAnsi="Calibri"/>
        </w:rPr>
        <w:t>i</w:t>
      </w:r>
      <w:r>
        <w:rPr>
          <w:rFonts w:ascii="Calibri" w:hAnsi="Calibri"/>
        </w:rPr>
        <w:t xml:space="preserve">. </w:t>
      </w:r>
      <w:r w:rsidR="00766BEE">
        <w:rPr>
          <w:rFonts w:ascii="Calibri" w:hAnsi="Calibri"/>
        </w:rPr>
        <w:t xml:space="preserve">Na ovoj skupini su evidentirani rashodi protokola u iznosu </w:t>
      </w:r>
      <w:r w:rsidR="00DC530F">
        <w:rPr>
          <w:rFonts w:ascii="Calibri" w:hAnsi="Calibri"/>
        </w:rPr>
        <w:t>109.658</w:t>
      </w:r>
      <w:r w:rsidR="00766BEE">
        <w:rPr>
          <w:rFonts w:ascii="Calibri" w:hAnsi="Calibri"/>
        </w:rPr>
        <w:t xml:space="preserve"> kn i ostali nespomenuti rashodi poslovanja </w:t>
      </w:r>
      <w:r w:rsidR="00C4321C">
        <w:rPr>
          <w:rFonts w:ascii="Calibri" w:hAnsi="Calibri"/>
        </w:rPr>
        <w:t>12.652.969</w:t>
      </w:r>
      <w:r w:rsidR="00766BEE">
        <w:rPr>
          <w:rFonts w:ascii="Calibri" w:hAnsi="Calibri"/>
        </w:rPr>
        <w:t xml:space="preserve"> kn.</w:t>
      </w:r>
      <w:r w:rsidR="00766BEE" w:rsidRPr="00766BEE">
        <w:rPr>
          <w:rFonts w:ascii="Calibri" w:hAnsi="Calibri"/>
        </w:rPr>
        <w:t xml:space="preserve"> </w:t>
      </w:r>
    </w:p>
    <w:p w:rsidR="00766BEE" w:rsidRPr="00C4321C" w:rsidRDefault="00766BEE" w:rsidP="001B5FD7">
      <w:pPr>
        <w:autoSpaceDE w:val="0"/>
        <w:autoSpaceDN w:val="0"/>
        <w:adjustRightInd w:val="0"/>
        <w:spacing w:after="0" w:line="240" w:lineRule="auto"/>
        <w:jc w:val="both"/>
        <w:rPr>
          <w:rFonts w:cstheme="minorHAnsi"/>
        </w:rPr>
      </w:pPr>
      <w:r w:rsidRPr="00766BEE">
        <w:rPr>
          <w:rFonts w:ascii="Calibri" w:hAnsi="Calibri"/>
          <w:b/>
        </w:rPr>
        <w:t>Financijski rashodi (AOP 193)</w:t>
      </w:r>
      <w:r>
        <w:rPr>
          <w:rFonts w:ascii="Calibri" w:hAnsi="Calibri"/>
          <w:b/>
        </w:rPr>
        <w:t xml:space="preserve"> - </w:t>
      </w:r>
      <w:r w:rsidRPr="00C4321C">
        <w:rPr>
          <w:rFonts w:cstheme="minorHAnsi"/>
        </w:rPr>
        <w:t xml:space="preserve">ostvareni su u iznosu </w:t>
      </w:r>
      <w:r w:rsidR="008A3A79" w:rsidRPr="00C4321C">
        <w:rPr>
          <w:rFonts w:cstheme="minorHAnsi"/>
        </w:rPr>
        <w:t>108.654.870</w:t>
      </w:r>
      <w:r w:rsidRPr="00C4321C">
        <w:rPr>
          <w:rFonts w:cstheme="minorHAnsi"/>
        </w:rPr>
        <w:t xml:space="preserve"> kn i bilježe </w:t>
      </w:r>
      <w:r w:rsidR="008A3A79" w:rsidRPr="00C4321C">
        <w:rPr>
          <w:rFonts w:cstheme="minorHAnsi"/>
        </w:rPr>
        <w:t>rast</w:t>
      </w:r>
      <w:r w:rsidRPr="00C4321C">
        <w:rPr>
          <w:rFonts w:cstheme="minorHAnsi"/>
        </w:rPr>
        <w:t xml:space="preserve"> od </w:t>
      </w:r>
      <w:r w:rsidR="008A3A79" w:rsidRPr="00C4321C">
        <w:rPr>
          <w:rFonts w:cstheme="minorHAnsi"/>
        </w:rPr>
        <w:t>27</w:t>
      </w:r>
      <w:r w:rsidRPr="00C4321C">
        <w:rPr>
          <w:rFonts w:cstheme="minorHAnsi"/>
        </w:rPr>
        <w:t>% u odnosu</w:t>
      </w:r>
    </w:p>
    <w:p w:rsidR="00B15212" w:rsidRPr="00C4321C" w:rsidRDefault="00766BEE" w:rsidP="00B15212">
      <w:pPr>
        <w:rPr>
          <w:rFonts w:cstheme="minorHAnsi"/>
        </w:rPr>
      </w:pPr>
      <w:r w:rsidRPr="00C4321C">
        <w:rPr>
          <w:rFonts w:cstheme="minorHAnsi"/>
        </w:rPr>
        <w:t xml:space="preserve">na prethodnu godinu. </w:t>
      </w:r>
      <w:r w:rsidR="00B15212" w:rsidRPr="00C4321C">
        <w:rPr>
          <w:rFonts w:cstheme="minorHAnsi"/>
        </w:rPr>
        <w:t xml:space="preserve"> Povećanje se odnosi se na sredstva za naknade Poreznoj upravi za obavljanje poslova razreza i naplate određenih javnih prihoda koje su se 2018. podmirivale iz pozicije Bankarske usluge i usluge platnog prometa. Od 1.1.2018.</w:t>
      </w:r>
      <w:r w:rsidR="00B15212" w:rsidRPr="00C4321C">
        <w:rPr>
          <w:rFonts w:cstheme="minorHAnsi"/>
          <w:color w:val="000000"/>
        </w:rPr>
        <w:t xml:space="preserve"> primjenjuje se novi način obračuna naknade od 1% koji pripada Poreznoj upravi za poslove u svezi naplate poreza na dohodak. </w:t>
      </w:r>
      <w:r w:rsidR="00B15212" w:rsidRPr="00C4321C">
        <w:rPr>
          <w:rFonts w:cstheme="minorHAnsi"/>
          <w:color w:val="000000"/>
          <w:lang w:eastAsia="hr-HR"/>
        </w:rPr>
        <w:t xml:space="preserve">Do 31.12.2017. se Gradu nije doznačavao cjelokupni prikupljeni prihod od poreza dohodak na njegovom području jer je navedeni bio umanjen za naknadu Poreznoj Upravi. Od 2018. cjelokupni udio u porezu na dohodak se doznači na žiro-račun proračuna te se istovremeno kroz rashode Poreznoj upravi plaća naknada. </w:t>
      </w:r>
    </w:p>
    <w:p w:rsidR="005E0B02" w:rsidRDefault="005E0B02" w:rsidP="001B5FD7">
      <w:pPr>
        <w:jc w:val="both"/>
        <w:rPr>
          <w:rFonts w:cstheme="minorHAnsi"/>
        </w:rPr>
      </w:pPr>
      <w:r w:rsidRPr="005E0B02">
        <w:rPr>
          <w:rFonts w:cstheme="minorHAnsi"/>
          <w:b/>
        </w:rPr>
        <w:t>Subvencije (AOP 212)</w:t>
      </w:r>
      <w:r>
        <w:rPr>
          <w:rFonts w:cstheme="minorHAnsi"/>
        </w:rPr>
        <w:t xml:space="preserve"> – ostvarene su u iznosu od </w:t>
      </w:r>
      <w:r w:rsidR="00667103">
        <w:rPr>
          <w:rFonts w:cstheme="minorHAnsi"/>
        </w:rPr>
        <w:t xml:space="preserve">734.284.320 </w:t>
      </w:r>
      <w:r>
        <w:rPr>
          <w:rFonts w:cstheme="minorHAnsi"/>
        </w:rPr>
        <w:t xml:space="preserve">kn što je </w:t>
      </w:r>
      <w:r w:rsidR="00667103" w:rsidRPr="00667103">
        <w:rPr>
          <w:rFonts w:cstheme="minorHAnsi"/>
        </w:rPr>
        <w:t>6</w:t>
      </w:r>
      <w:r w:rsidRPr="00667103">
        <w:rPr>
          <w:rFonts w:cstheme="minorHAnsi"/>
        </w:rPr>
        <w:t xml:space="preserve">% </w:t>
      </w:r>
      <w:r w:rsidR="00667103">
        <w:rPr>
          <w:rFonts w:cstheme="minorHAnsi"/>
        </w:rPr>
        <w:t>više</w:t>
      </w:r>
      <w:r w:rsidR="00025145">
        <w:rPr>
          <w:rFonts w:cstheme="minorHAnsi"/>
        </w:rPr>
        <w:t xml:space="preserve"> </w:t>
      </w:r>
      <w:r>
        <w:rPr>
          <w:rFonts w:cstheme="minorHAnsi"/>
        </w:rPr>
        <w:t>u odnosu na prethodnu godinu.</w:t>
      </w:r>
    </w:p>
    <w:p w:rsidR="005E0B02" w:rsidRDefault="004A0318" w:rsidP="001B5FD7">
      <w:pPr>
        <w:jc w:val="both"/>
        <w:rPr>
          <w:rFonts w:cstheme="minorHAnsi"/>
        </w:rPr>
      </w:pPr>
      <w:r>
        <w:rPr>
          <w:rFonts w:cstheme="minorHAnsi"/>
        </w:rPr>
        <w:t>Subvencije su isplaćene:</w:t>
      </w:r>
    </w:p>
    <w:p w:rsidR="004A0318" w:rsidRPr="004E6BB7" w:rsidRDefault="004A0318" w:rsidP="004E6BB7">
      <w:pPr>
        <w:pStyle w:val="ListParagraph"/>
        <w:numPr>
          <w:ilvl w:val="0"/>
          <w:numId w:val="6"/>
        </w:numPr>
        <w:jc w:val="both"/>
        <w:rPr>
          <w:rFonts w:cstheme="minorHAnsi"/>
        </w:rPr>
      </w:pPr>
      <w:r>
        <w:rPr>
          <w:rFonts w:cstheme="minorHAnsi"/>
        </w:rPr>
        <w:t xml:space="preserve">Zagrebački holding podružnica Zagrebački velesajam – </w:t>
      </w:r>
      <w:r w:rsidR="00C44134">
        <w:rPr>
          <w:rFonts w:cstheme="minorHAnsi"/>
        </w:rPr>
        <w:t xml:space="preserve">  </w:t>
      </w:r>
      <w:r w:rsidR="00084E3B">
        <w:rPr>
          <w:rFonts w:cstheme="minorHAnsi"/>
        </w:rPr>
        <w:t>4.263.190</w:t>
      </w:r>
      <w:r>
        <w:rPr>
          <w:rFonts w:cstheme="minorHAnsi"/>
        </w:rPr>
        <w:t xml:space="preserve"> kn,</w:t>
      </w:r>
    </w:p>
    <w:p w:rsidR="004A0318" w:rsidRDefault="004A0318" w:rsidP="001B5FD7">
      <w:pPr>
        <w:pStyle w:val="ListParagraph"/>
        <w:numPr>
          <w:ilvl w:val="0"/>
          <w:numId w:val="6"/>
        </w:numPr>
        <w:jc w:val="both"/>
        <w:rPr>
          <w:rFonts w:cstheme="minorHAnsi"/>
        </w:rPr>
      </w:pPr>
      <w:r>
        <w:rPr>
          <w:rFonts w:cstheme="minorHAnsi"/>
        </w:rPr>
        <w:t>Integrirani promet zagrebačkog područja</w:t>
      </w:r>
      <w:r>
        <w:rPr>
          <w:rFonts w:cstheme="minorHAnsi"/>
        </w:rPr>
        <w:tab/>
        <w:t xml:space="preserve">          -    </w:t>
      </w:r>
      <w:r w:rsidR="00C44134">
        <w:rPr>
          <w:rFonts w:cstheme="minorHAnsi"/>
        </w:rPr>
        <w:t xml:space="preserve">  </w:t>
      </w:r>
      <w:r>
        <w:rPr>
          <w:rFonts w:cstheme="minorHAnsi"/>
        </w:rPr>
        <w:t xml:space="preserve"> </w:t>
      </w:r>
      <w:r w:rsidR="004E6BB7">
        <w:rPr>
          <w:rFonts w:cstheme="minorHAnsi"/>
        </w:rPr>
        <w:t>792.914</w:t>
      </w:r>
      <w:r>
        <w:rPr>
          <w:rFonts w:cstheme="minorHAnsi"/>
        </w:rPr>
        <w:t xml:space="preserve"> kn,</w:t>
      </w:r>
    </w:p>
    <w:p w:rsidR="004A0318" w:rsidRDefault="004A0318" w:rsidP="001B5FD7">
      <w:pPr>
        <w:pStyle w:val="ListParagraph"/>
        <w:numPr>
          <w:ilvl w:val="0"/>
          <w:numId w:val="6"/>
        </w:numPr>
        <w:jc w:val="both"/>
        <w:rPr>
          <w:rFonts w:cstheme="minorHAnsi"/>
        </w:rPr>
      </w:pPr>
      <w:r>
        <w:rPr>
          <w:rFonts w:cstheme="minorHAnsi"/>
        </w:rPr>
        <w:t>URIHO</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 </w:t>
      </w:r>
      <w:r w:rsidR="00C44134">
        <w:rPr>
          <w:rFonts w:cstheme="minorHAnsi"/>
        </w:rPr>
        <w:t xml:space="preserve"> </w:t>
      </w:r>
      <w:r>
        <w:rPr>
          <w:rFonts w:cstheme="minorHAnsi"/>
        </w:rPr>
        <w:t>27.</w:t>
      </w:r>
      <w:r w:rsidR="004E6BB7">
        <w:rPr>
          <w:rFonts w:cstheme="minorHAnsi"/>
        </w:rPr>
        <w:t>230.075</w:t>
      </w:r>
      <w:r>
        <w:rPr>
          <w:rFonts w:cstheme="minorHAnsi"/>
        </w:rPr>
        <w:t xml:space="preserve"> kn,</w:t>
      </w:r>
      <w:r>
        <w:rPr>
          <w:rFonts w:cstheme="minorHAnsi"/>
        </w:rPr>
        <w:tab/>
      </w:r>
    </w:p>
    <w:p w:rsidR="004A0318" w:rsidRDefault="004A0318" w:rsidP="001B5FD7">
      <w:pPr>
        <w:pStyle w:val="ListParagraph"/>
        <w:numPr>
          <w:ilvl w:val="0"/>
          <w:numId w:val="6"/>
        </w:numPr>
        <w:jc w:val="both"/>
        <w:rPr>
          <w:rFonts w:cstheme="minorHAnsi"/>
        </w:rPr>
      </w:pPr>
      <w:r>
        <w:rPr>
          <w:rFonts w:cstheme="minorHAnsi"/>
        </w:rPr>
        <w:t>LADA d.o.o.</w:t>
      </w:r>
      <w:r>
        <w:rPr>
          <w:rFonts w:cstheme="minorHAnsi"/>
        </w:rPr>
        <w:tab/>
      </w:r>
      <w:r>
        <w:rPr>
          <w:rFonts w:cstheme="minorHAnsi"/>
        </w:rPr>
        <w:tab/>
      </w:r>
      <w:r>
        <w:rPr>
          <w:rFonts w:cstheme="minorHAnsi"/>
        </w:rPr>
        <w:tab/>
      </w:r>
      <w:r>
        <w:rPr>
          <w:rFonts w:cstheme="minorHAnsi"/>
        </w:rPr>
        <w:tab/>
      </w:r>
      <w:r>
        <w:rPr>
          <w:rFonts w:cstheme="minorHAnsi"/>
        </w:rPr>
        <w:tab/>
        <w:t xml:space="preserve">          -   </w:t>
      </w:r>
      <w:r w:rsidR="00C44134">
        <w:rPr>
          <w:rFonts w:cstheme="minorHAnsi"/>
        </w:rPr>
        <w:t xml:space="preserve"> </w:t>
      </w:r>
      <w:r>
        <w:rPr>
          <w:rFonts w:cstheme="minorHAnsi"/>
        </w:rPr>
        <w:t>1.</w:t>
      </w:r>
      <w:r w:rsidR="004E6BB7">
        <w:rPr>
          <w:rFonts w:cstheme="minorHAnsi"/>
        </w:rPr>
        <w:t>379.110</w:t>
      </w:r>
      <w:r>
        <w:rPr>
          <w:rFonts w:cstheme="minorHAnsi"/>
        </w:rPr>
        <w:t xml:space="preserve"> kn,</w:t>
      </w:r>
    </w:p>
    <w:p w:rsidR="00045308" w:rsidRDefault="004A0318" w:rsidP="001B5FD7">
      <w:pPr>
        <w:pStyle w:val="ListParagraph"/>
        <w:numPr>
          <w:ilvl w:val="0"/>
          <w:numId w:val="6"/>
        </w:numPr>
        <w:jc w:val="both"/>
        <w:rPr>
          <w:rFonts w:cstheme="minorHAnsi"/>
        </w:rPr>
      </w:pPr>
      <w:r>
        <w:rPr>
          <w:rFonts w:cstheme="minorHAnsi"/>
        </w:rPr>
        <w:t>Zagrebački holding podružnica Zrinjevac</w:t>
      </w:r>
      <w:r w:rsidR="00045308">
        <w:rPr>
          <w:rFonts w:cstheme="minorHAnsi"/>
        </w:rPr>
        <w:tab/>
        <w:t xml:space="preserve">          -  </w:t>
      </w:r>
      <w:r w:rsidR="00C44134">
        <w:rPr>
          <w:rFonts w:cstheme="minorHAnsi"/>
        </w:rPr>
        <w:t xml:space="preserve"> </w:t>
      </w:r>
      <w:r w:rsidR="00045308">
        <w:rPr>
          <w:rFonts w:cstheme="minorHAnsi"/>
        </w:rPr>
        <w:t xml:space="preserve"> </w:t>
      </w:r>
      <w:r w:rsidR="004E6BB7">
        <w:rPr>
          <w:rFonts w:cstheme="minorHAnsi"/>
        </w:rPr>
        <w:t>1.600.000</w:t>
      </w:r>
      <w:r w:rsidR="00045308">
        <w:rPr>
          <w:rFonts w:cstheme="minorHAnsi"/>
        </w:rPr>
        <w:t xml:space="preserve"> kn,</w:t>
      </w:r>
    </w:p>
    <w:p w:rsidR="00045308" w:rsidRDefault="00045308" w:rsidP="001B5FD7">
      <w:pPr>
        <w:pStyle w:val="ListParagraph"/>
        <w:numPr>
          <w:ilvl w:val="0"/>
          <w:numId w:val="6"/>
        </w:numPr>
        <w:jc w:val="both"/>
        <w:rPr>
          <w:rFonts w:cstheme="minorHAnsi"/>
        </w:rPr>
      </w:pPr>
      <w:r>
        <w:rPr>
          <w:rFonts w:cstheme="minorHAnsi"/>
        </w:rPr>
        <w:t>Bicro Biocentar</w:t>
      </w:r>
      <w:r>
        <w:rPr>
          <w:rFonts w:cstheme="minorHAnsi"/>
        </w:rPr>
        <w:tab/>
      </w:r>
      <w:r>
        <w:rPr>
          <w:rFonts w:cstheme="minorHAnsi"/>
        </w:rPr>
        <w:tab/>
      </w:r>
      <w:r>
        <w:rPr>
          <w:rFonts w:cstheme="minorHAnsi"/>
        </w:rPr>
        <w:tab/>
      </w:r>
      <w:r>
        <w:rPr>
          <w:rFonts w:cstheme="minorHAnsi"/>
        </w:rPr>
        <w:tab/>
      </w:r>
      <w:r>
        <w:rPr>
          <w:rFonts w:cstheme="minorHAnsi"/>
        </w:rPr>
        <w:tab/>
        <w:t xml:space="preserve">          -       </w:t>
      </w:r>
      <w:r w:rsidR="00C44134">
        <w:rPr>
          <w:rFonts w:cstheme="minorHAnsi"/>
        </w:rPr>
        <w:t xml:space="preserve"> </w:t>
      </w:r>
      <w:r w:rsidR="004E6BB7">
        <w:rPr>
          <w:rFonts w:cstheme="minorHAnsi"/>
        </w:rPr>
        <w:t>560.669</w:t>
      </w:r>
      <w:r>
        <w:rPr>
          <w:rFonts w:cstheme="minorHAnsi"/>
        </w:rPr>
        <w:t xml:space="preserve"> kn,</w:t>
      </w:r>
    </w:p>
    <w:p w:rsidR="00045308" w:rsidRDefault="00045308" w:rsidP="001B5FD7">
      <w:pPr>
        <w:pStyle w:val="ListParagraph"/>
        <w:numPr>
          <w:ilvl w:val="0"/>
          <w:numId w:val="6"/>
        </w:numPr>
        <w:jc w:val="both"/>
        <w:rPr>
          <w:rFonts w:cstheme="minorHAnsi"/>
        </w:rPr>
      </w:pPr>
      <w:r>
        <w:rPr>
          <w:rFonts w:cstheme="minorHAnsi"/>
        </w:rPr>
        <w:t>Botanički vrt</w:t>
      </w:r>
      <w:r>
        <w:rPr>
          <w:rFonts w:cstheme="minorHAnsi"/>
        </w:rPr>
        <w:tab/>
      </w:r>
      <w:r>
        <w:rPr>
          <w:rFonts w:cstheme="minorHAnsi"/>
        </w:rPr>
        <w:tab/>
      </w:r>
      <w:r>
        <w:rPr>
          <w:rFonts w:cstheme="minorHAnsi"/>
        </w:rPr>
        <w:tab/>
      </w:r>
      <w:r>
        <w:rPr>
          <w:rFonts w:cstheme="minorHAnsi"/>
        </w:rPr>
        <w:tab/>
      </w:r>
      <w:r>
        <w:rPr>
          <w:rFonts w:cstheme="minorHAnsi"/>
        </w:rPr>
        <w:tab/>
        <w:t xml:space="preserve">          -   </w:t>
      </w:r>
      <w:r w:rsidR="00C44134">
        <w:rPr>
          <w:rFonts w:cstheme="minorHAnsi"/>
        </w:rPr>
        <w:t xml:space="preserve">  </w:t>
      </w:r>
      <w:r w:rsidR="004E6BB7">
        <w:rPr>
          <w:rFonts w:cstheme="minorHAnsi"/>
        </w:rPr>
        <w:t>1.152.852</w:t>
      </w:r>
      <w:r>
        <w:rPr>
          <w:rFonts w:cstheme="minorHAnsi"/>
        </w:rPr>
        <w:t xml:space="preserve"> kn,</w:t>
      </w:r>
      <w:r>
        <w:rPr>
          <w:rFonts w:cstheme="minorHAnsi"/>
        </w:rPr>
        <w:tab/>
      </w:r>
    </w:p>
    <w:p w:rsidR="00045308" w:rsidRDefault="00045308" w:rsidP="001B5FD7">
      <w:pPr>
        <w:pStyle w:val="ListParagraph"/>
        <w:numPr>
          <w:ilvl w:val="0"/>
          <w:numId w:val="6"/>
        </w:numPr>
        <w:jc w:val="both"/>
        <w:rPr>
          <w:rFonts w:cstheme="minorHAnsi"/>
        </w:rPr>
      </w:pPr>
      <w:r>
        <w:rPr>
          <w:rFonts w:cstheme="minorHAnsi"/>
        </w:rPr>
        <w:t>Zagrebački holding podružnica ZET</w:t>
      </w:r>
      <w:r>
        <w:rPr>
          <w:rFonts w:cstheme="minorHAnsi"/>
        </w:rPr>
        <w:tab/>
      </w:r>
      <w:r>
        <w:rPr>
          <w:rFonts w:cstheme="minorHAnsi"/>
        </w:rPr>
        <w:tab/>
        <w:t xml:space="preserve">          - </w:t>
      </w:r>
      <w:r w:rsidR="004E6BB7">
        <w:rPr>
          <w:rFonts w:cstheme="minorHAnsi"/>
        </w:rPr>
        <w:t>483.198.934</w:t>
      </w:r>
      <w:r>
        <w:rPr>
          <w:rFonts w:cstheme="minorHAnsi"/>
        </w:rPr>
        <w:t xml:space="preserve"> kn,</w:t>
      </w:r>
    </w:p>
    <w:p w:rsidR="00045308" w:rsidRDefault="00045308" w:rsidP="001B5FD7">
      <w:pPr>
        <w:pStyle w:val="ListParagraph"/>
        <w:numPr>
          <w:ilvl w:val="0"/>
          <w:numId w:val="6"/>
        </w:numPr>
        <w:jc w:val="both"/>
        <w:rPr>
          <w:rFonts w:cstheme="minorHAnsi"/>
        </w:rPr>
      </w:pPr>
      <w:r>
        <w:rPr>
          <w:rFonts w:cstheme="minorHAnsi"/>
        </w:rPr>
        <w:t>ARENA polivalentna dvorana</w:t>
      </w:r>
      <w:r>
        <w:rPr>
          <w:rFonts w:cstheme="minorHAnsi"/>
        </w:rPr>
        <w:tab/>
      </w:r>
      <w:r>
        <w:rPr>
          <w:rFonts w:cstheme="minorHAnsi"/>
        </w:rPr>
        <w:tab/>
      </w:r>
      <w:r>
        <w:rPr>
          <w:rFonts w:cstheme="minorHAnsi"/>
        </w:rPr>
        <w:tab/>
        <w:t xml:space="preserve">         -   </w:t>
      </w:r>
      <w:r w:rsidR="00C44134">
        <w:rPr>
          <w:rFonts w:cstheme="minorHAnsi"/>
        </w:rPr>
        <w:t xml:space="preserve"> </w:t>
      </w:r>
      <w:r>
        <w:rPr>
          <w:rFonts w:cstheme="minorHAnsi"/>
        </w:rPr>
        <w:t>67.</w:t>
      </w:r>
      <w:r w:rsidR="004E6BB7">
        <w:rPr>
          <w:rFonts w:cstheme="minorHAnsi"/>
        </w:rPr>
        <w:t>702.379</w:t>
      </w:r>
      <w:r>
        <w:rPr>
          <w:rFonts w:cstheme="minorHAnsi"/>
        </w:rPr>
        <w:t xml:space="preserve"> kn,</w:t>
      </w:r>
    </w:p>
    <w:p w:rsidR="00C44134" w:rsidRDefault="00045308" w:rsidP="001B5FD7">
      <w:pPr>
        <w:pStyle w:val="ListParagraph"/>
        <w:numPr>
          <w:ilvl w:val="0"/>
          <w:numId w:val="6"/>
        </w:numPr>
        <w:jc w:val="both"/>
        <w:rPr>
          <w:rFonts w:cstheme="minorHAnsi"/>
        </w:rPr>
      </w:pPr>
      <w:r>
        <w:rPr>
          <w:rFonts w:cstheme="minorHAnsi"/>
        </w:rPr>
        <w:t>TPZ Razvojna agencija Zagreb</w:t>
      </w:r>
      <w:r>
        <w:rPr>
          <w:rFonts w:cstheme="minorHAnsi"/>
        </w:rPr>
        <w:tab/>
      </w:r>
      <w:r>
        <w:rPr>
          <w:rFonts w:cstheme="minorHAnsi"/>
        </w:rPr>
        <w:tab/>
      </w:r>
      <w:r>
        <w:rPr>
          <w:rFonts w:cstheme="minorHAnsi"/>
        </w:rPr>
        <w:tab/>
        <w:t xml:space="preserve">         -    </w:t>
      </w:r>
      <w:r w:rsidR="00C44134">
        <w:rPr>
          <w:rFonts w:cstheme="minorHAnsi"/>
        </w:rPr>
        <w:t xml:space="preserve"> </w:t>
      </w:r>
      <w:r>
        <w:rPr>
          <w:rFonts w:cstheme="minorHAnsi"/>
        </w:rPr>
        <w:t xml:space="preserve"> </w:t>
      </w:r>
      <w:r w:rsidR="004E6BB7">
        <w:rPr>
          <w:rFonts w:cstheme="minorHAnsi"/>
        </w:rPr>
        <w:t>8.613.869</w:t>
      </w:r>
      <w:r>
        <w:rPr>
          <w:rFonts w:cstheme="minorHAnsi"/>
        </w:rPr>
        <w:t xml:space="preserve"> kn</w:t>
      </w:r>
      <w:r w:rsidR="004E6BB7">
        <w:rPr>
          <w:rFonts w:cstheme="minorHAnsi"/>
        </w:rPr>
        <w:t>,</w:t>
      </w:r>
    </w:p>
    <w:p w:rsidR="006C6859" w:rsidRDefault="006C6859" w:rsidP="001B5FD7">
      <w:pPr>
        <w:pStyle w:val="ListParagraph"/>
        <w:numPr>
          <w:ilvl w:val="0"/>
          <w:numId w:val="6"/>
        </w:numPr>
        <w:jc w:val="both"/>
        <w:rPr>
          <w:rFonts w:cstheme="minorHAnsi"/>
        </w:rPr>
      </w:pPr>
      <w:r>
        <w:rPr>
          <w:rFonts w:cstheme="minorHAnsi"/>
        </w:rPr>
        <w:t>ZET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    99.451.320 kn, </w:t>
      </w:r>
      <w:r>
        <w:rPr>
          <w:rFonts w:cstheme="minorHAnsi"/>
        </w:rPr>
        <w:tab/>
      </w:r>
    </w:p>
    <w:p w:rsidR="004E6BB7" w:rsidRDefault="004E6BB7" w:rsidP="001B5FD7">
      <w:pPr>
        <w:pStyle w:val="ListParagraph"/>
        <w:numPr>
          <w:ilvl w:val="0"/>
          <w:numId w:val="6"/>
        </w:numPr>
        <w:jc w:val="both"/>
        <w:rPr>
          <w:rFonts w:cstheme="minorHAnsi"/>
        </w:rPr>
      </w:pPr>
      <w:r>
        <w:rPr>
          <w:rFonts w:cstheme="minorHAnsi"/>
        </w:rPr>
        <w:t>Zagrebački centar za gospod. otpadom</w:t>
      </w:r>
      <w:r>
        <w:rPr>
          <w:rFonts w:cstheme="minorHAnsi"/>
        </w:rPr>
        <w:tab/>
      </w:r>
      <w:r>
        <w:rPr>
          <w:rFonts w:cstheme="minorHAnsi"/>
        </w:rPr>
        <w:tab/>
        <w:t xml:space="preserve">         -      2.100.000 kn.</w:t>
      </w:r>
    </w:p>
    <w:p w:rsidR="00333178" w:rsidRDefault="00C44134" w:rsidP="001B5FD7">
      <w:pPr>
        <w:jc w:val="both"/>
        <w:rPr>
          <w:rFonts w:ascii="Calibri" w:hAnsi="Calibri"/>
        </w:rPr>
      </w:pPr>
      <w:r w:rsidRPr="00C44134">
        <w:rPr>
          <w:rFonts w:cstheme="minorHAnsi"/>
          <w:u w:val="single"/>
        </w:rPr>
        <w:t>Subvencije trg. društvima, zadrugama, poljoprivrednicima i obrtnicima izvan JS (AOP 216)</w:t>
      </w:r>
      <w:r>
        <w:rPr>
          <w:rFonts w:cstheme="minorHAnsi"/>
        </w:rPr>
        <w:t xml:space="preserve"> - </w:t>
      </w:r>
      <w:r w:rsidR="00333178">
        <w:rPr>
          <w:rFonts w:ascii="Calibri" w:hAnsi="Calibri"/>
        </w:rPr>
        <w:t xml:space="preserve">iznose </w:t>
      </w:r>
      <w:r w:rsidR="007A1F4D">
        <w:rPr>
          <w:rFonts w:ascii="Calibri" w:hAnsi="Calibri"/>
        </w:rPr>
        <w:t>36.239.007</w:t>
      </w:r>
      <w:r w:rsidR="00333178">
        <w:rPr>
          <w:rFonts w:ascii="Calibri" w:hAnsi="Calibri"/>
        </w:rPr>
        <w:t xml:space="preserve"> kn što je za </w:t>
      </w:r>
      <w:r w:rsidR="00D2397E">
        <w:rPr>
          <w:rFonts w:ascii="Calibri" w:hAnsi="Calibri"/>
        </w:rPr>
        <w:t>22</w:t>
      </w:r>
      <w:r w:rsidR="00333178">
        <w:rPr>
          <w:rFonts w:ascii="Calibri" w:hAnsi="Calibri"/>
        </w:rPr>
        <w:t xml:space="preserve">% </w:t>
      </w:r>
      <w:r w:rsidR="00D2397E">
        <w:rPr>
          <w:rFonts w:ascii="Calibri" w:hAnsi="Calibri"/>
        </w:rPr>
        <w:t>manje</w:t>
      </w:r>
      <w:r w:rsidR="00333178">
        <w:rPr>
          <w:rFonts w:ascii="Calibri" w:hAnsi="Calibri"/>
        </w:rPr>
        <w:t xml:space="preserve"> u odnosu na</w:t>
      </w:r>
      <w:r w:rsidR="00D2397E">
        <w:rPr>
          <w:rFonts w:ascii="Calibri" w:hAnsi="Calibri"/>
        </w:rPr>
        <w:t xml:space="preserve"> 2017. godinu</w:t>
      </w:r>
      <w:r w:rsidR="00333178">
        <w:rPr>
          <w:rFonts w:ascii="Calibri" w:hAnsi="Calibri"/>
        </w:rPr>
        <w:t xml:space="preserve">. Na ovom AOP-u iskazane su isplate </w:t>
      </w:r>
      <w:r w:rsidR="00D2397E">
        <w:rPr>
          <w:rFonts w:ascii="Calibri" w:hAnsi="Calibri"/>
        </w:rPr>
        <w:t>8.098.000</w:t>
      </w:r>
      <w:r w:rsidR="00333178">
        <w:rPr>
          <w:rFonts w:ascii="Calibri" w:hAnsi="Calibri"/>
        </w:rPr>
        <w:t xml:space="preserve"> kn državnih potpora za sufinanciranje radijskih i televizijskih sadržaja i 1.</w:t>
      </w:r>
      <w:r w:rsidR="00D2397E">
        <w:rPr>
          <w:rFonts w:ascii="Calibri" w:hAnsi="Calibri"/>
        </w:rPr>
        <w:t>078.000</w:t>
      </w:r>
      <w:r w:rsidR="00333178">
        <w:rPr>
          <w:rFonts w:ascii="Calibri" w:hAnsi="Calibri"/>
        </w:rPr>
        <w:t xml:space="preserve"> kn potpora male vrijednosti u Uredu gradonačelnika</w:t>
      </w:r>
      <w:r w:rsidR="00D2397E">
        <w:rPr>
          <w:rFonts w:ascii="Calibri" w:hAnsi="Calibri"/>
        </w:rPr>
        <w:t>,</w:t>
      </w:r>
      <w:r w:rsidR="00333178">
        <w:rPr>
          <w:rFonts w:ascii="Calibri" w:hAnsi="Calibri"/>
        </w:rPr>
        <w:t xml:space="preserve"> </w:t>
      </w:r>
      <w:r w:rsidR="00C36267">
        <w:rPr>
          <w:rFonts w:ascii="Calibri" w:hAnsi="Calibri"/>
        </w:rPr>
        <w:t>10.238.814</w:t>
      </w:r>
      <w:r w:rsidR="00333178">
        <w:rPr>
          <w:rFonts w:ascii="Calibri" w:hAnsi="Calibri"/>
        </w:rPr>
        <w:t xml:space="preserve"> kn </w:t>
      </w:r>
      <w:r w:rsidR="00C36267">
        <w:rPr>
          <w:rFonts w:ascii="Calibri" w:hAnsi="Calibri"/>
        </w:rPr>
        <w:t>subvencija trgovačkim društvima izvan javnog sektora, 862.425 kn subvencija zadrugama i 11.290.720 kn subvencija obrtnicima u</w:t>
      </w:r>
      <w:r w:rsidR="00333178">
        <w:rPr>
          <w:rFonts w:ascii="Calibri" w:hAnsi="Calibri"/>
        </w:rPr>
        <w:t xml:space="preserve"> GU za gospodarstvo, </w:t>
      </w:r>
      <w:r w:rsidR="00C36267">
        <w:rPr>
          <w:rFonts w:ascii="Calibri" w:hAnsi="Calibri"/>
        </w:rPr>
        <w:t>energetiku i zaštitu okoliša te 4.671.048 kn subvencija poljoprivrednicima u GU za poljoprivredu i šumarstvo</w:t>
      </w:r>
      <w:r w:rsidR="00333178">
        <w:rPr>
          <w:rFonts w:ascii="Calibri" w:hAnsi="Calibri"/>
        </w:rPr>
        <w:t>.</w:t>
      </w:r>
    </w:p>
    <w:p w:rsidR="00DD1576" w:rsidRDefault="00DD1576" w:rsidP="001B5FD7">
      <w:pPr>
        <w:jc w:val="both"/>
        <w:rPr>
          <w:rFonts w:ascii="Calibri" w:hAnsi="Calibri"/>
        </w:rPr>
      </w:pPr>
      <w:r w:rsidRPr="00DD1576">
        <w:rPr>
          <w:rFonts w:ascii="Calibri" w:hAnsi="Calibri"/>
          <w:b/>
        </w:rPr>
        <w:t>Pomoći dane u inozemstvo i unutar općeg proračuna (AOP 221)</w:t>
      </w:r>
      <w:r>
        <w:rPr>
          <w:rFonts w:ascii="Calibri" w:hAnsi="Calibri"/>
        </w:rPr>
        <w:t xml:space="preserve"> – izvršene su u iznosu </w:t>
      </w:r>
      <w:r w:rsidR="001F74F0">
        <w:rPr>
          <w:rFonts w:ascii="Calibri" w:hAnsi="Calibri"/>
        </w:rPr>
        <w:t>2.169.955.544</w:t>
      </w:r>
      <w:r>
        <w:rPr>
          <w:rFonts w:ascii="Calibri" w:hAnsi="Calibri"/>
        </w:rPr>
        <w:t xml:space="preserve"> kn što je povećanje od </w:t>
      </w:r>
      <w:r w:rsidR="001F74F0">
        <w:rPr>
          <w:rFonts w:ascii="Calibri" w:hAnsi="Calibri"/>
        </w:rPr>
        <w:t>6</w:t>
      </w:r>
      <w:r>
        <w:rPr>
          <w:rFonts w:ascii="Calibri" w:hAnsi="Calibri"/>
        </w:rPr>
        <w:t xml:space="preserve">%. </w:t>
      </w:r>
    </w:p>
    <w:p w:rsidR="00340ED0" w:rsidRDefault="00340ED0" w:rsidP="001B5FD7">
      <w:pPr>
        <w:tabs>
          <w:tab w:val="center" w:pos="-2977"/>
          <w:tab w:val="left" w:pos="540"/>
        </w:tabs>
        <w:jc w:val="both"/>
        <w:rPr>
          <w:rFonts w:cstheme="minorHAnsi"/>
        </w:rPr>
      </w:pPr>
      <w:r w:rsidRPr="00340ED0">
        <w:rPr>
          <w:rFonts w:ascii="Calibri" w:hAnsi="Calibri"/>
          <w:u w:val="single"/>
        </w:rPr>
        <w:t>Pomoći unutar općeg proračuna (AOP 228)</w:t>
      </w:r>
      <w:r>
        <w:rPr>
          <w:rFonts w:ascii="Calibri" w:hAnsi="Calibri"/>
        </w:rPr>
        <w:t xml:space="preserve"> – izvršene su u iznosu od </w:t>
      </w:r>
      <w:r w:rsidR="005E6813">
        <w:rPr>
          <w:rFonts w:ascii="Calibri" w:hAnsi="Calibri"/>
        </w:rPr>
        <w:t>48.648.32</w:t>
      </w:r>
      <w:r w:rsidR="00997BBA">
        <w:rPr>
          <w:rFonts w:ascii="Calibri" w:hAnsi="Calibri"/>
        </w:rPr>
        <w:t>2</w:t>
      </w:r>
      <w:r>
        <w:rPr>
          <w:rFonts w:ascii="Calibri" w:hAnsi="Calibri"/>
        </w:rPr>
        <w:t xml:space="preserve"> kn što je povećanje od </w:t>
      </w:r>
      <w:r w:rsidR="005E6813">
        <w:rPr>
          <w:rFonts w:ascii="Calibri" w:hAnsi="Calibri"/>
        </w:rPr>
        <w:t>5</w:t>
      </w:r>
      <w:r>
        <w:rPr>
          <w:rFonts w:ascii="Calibri" w:hAnsi="Calibri"/>
        </w:rPr>
        <w:t xml:space="preserve">% u odnosu na prethodnu godinu. Najveći iznos </w:t>
      </w:r>
      <w:r w:rsidR="00997BBA">
        <w:rPr>
          <w:rFonts w:ascii="Calibri" w:hAnsi="Calibri"/>
        </w:rPr>
        <w:t xml:space="preserve">tekućih </w:t>
      </w:r>
      <w:r>
        <w:rPr>
          <w:rFonts w:ascii="Calibri" w:hAnsi="Calibri"/>
        </w:rPr>
        <w:t xml:space="preserve">pomoći isplaćen je HNK i to </w:t>
      </w:r>
      <w:r w:rsidR="005E6813">
        <w:rPr>
          <w:rFonts w:ascii="Calibri" w:hAnsi="Calibri"/>
        </w:rPr>
        <w:t>46.528.360</w:t>
      </w:r>
      <w:r>
        <w:rPr>
          <w:rFonts w:ascii="Calibri" w:hAnsi="Calibri"/>
        </w:rPr>
        <w:t xml:space="preserve"> kn</w:t>
      </w:r>
      <w:r w:rsidRPr="00340ED0">
        <w:rPr>
          <w:rFonts w:cstheme="minorHAnsi"/>
        </w:rPr>
        <w:t>, drugi</w:t>
      </w:r>
      <w:r>
        <w:rPr>
          <w:rFonts w:cstheme="minorHAnsi"/>
        </w:rPr>
        <w:t>m</w:t>
      </w:r>
      <w:r w:rsidRPr="00340ED0">
        <w:rPr>
          <w:rFonts w:cstheme="minorHAnsi"/>
        </w:rPr>
        <w:t xml:space="preserve"> jedinica</w:t>
      </w:r>
      <w:r>
        <w:rPr>
          <w:rFonts w:cstheme="minorHAnsi"/>
        </w:rPr>
        <w:t>ma</w:t>
      </w:r>
      <w:r w:rsidRPr="00340ED0">
        <w:rPr>
          <w:rFonts w:cstheme="minorHAnsi"/>
        </w:rPr>
        <w:t xml:space="preserve"> lokalne samouprave za sufinanciranje djece s područja Grada Zagreba smještene u dječje vrtiće</w:t>
      </w:r>
      <w:r w:rsidR="005E6813">
        <w:rPr>
          <w:rFonts w:cstheme="minorHAnsi"/>
        </w:rPr>
        <w:t xml:space="preserve"> osnovne škole</w:t>
      </w:r>
      <w:r w:rsidRPr="00340ED0">
        <w:rPr>
          <w:rFonts w:cstheme="minorHAnsi"/>
        </w:rPr>
        <w:t xml:space="preserve"> tih  lokalnih samouprava</w:t>
      </w:r>
      <w:r>
        <w:rPr>
          <w:rFonts w:cstheme="minorHAnsi"/>
        </w:rPr>
        <w:t xml:space="preserve"> isplaćeno je </w:t>
      </w:r>
      <w:r w:rsidR="00997BBA">
        <w:rPr>
          <w:rFonts w:cstheme="minorHAnsi"/>
        </w:rPr>
        <w:t>783.950</w:t>
      </w:r>
      <w:r>
        <w:rPr>
          <w:rFonts w:cstheme="minorHAnsi"/>
        </w:rPr>
        <w:t xml:space="preserve"> kn, Hrvatskoj </w:t>
      </w:r>
      <w:r>
        <w:rPr>
          <w:rFonts w:cstheme="minorHAnsi"/>
        </w:rPr>
        <w:lastRenderedPageBreak/>
        <w:t xml:space="preserve">akademiji znanosti i umjetnosti </w:t>
      </w:r>
      <w:r w:rsidR="00997BBA">
        <w:rPr>
          <w:rFonts w:cstheme="minorHAnsi"/>
        </w:rPr>
        <w:t>505.614</w:t>
      </w:r>
      <w:r>
        <w:rPr>
          <w:rFonts w:cstheme="minorHAnsi"/>
        </w:rPr>
        <w:t xml:space="preserve"> kn, DHMZ-u 250.000 kn, Sveučilištu u Zagrebu </w:t>
      </w:r>
      <w:r w:rsidR="00997BBA">
        <w:rPr>
          <w:rFonts w:cstheme="minorHAnsi"/>
        </w:rPr>
        <w:t>56.250</w:t>
      </w:r>
      <w:r>
        <w:rPr>
          <w:rFonts w:cstheme="minorHAnsi"/>
        </w:rPr>
        <w:t xml:space="preserve"> kn i </w:t>
      </w:r>
      <w:r w:rsidR="00997BBA">
        <w:rPr>
          <w:rFonts w:cstheme="minorHAnsi"/>
        </w:rPr>
        <w:t xml:space="preserve">Prehrambeno biotehnološkom fakultetu 374.148 </w:t>
      </w:r>
      <w:r>
        <w:rPr>
          <w:rFonts w:cstheme="minorHAnsi"/>
        </w:rPr>
        <w:t>kn.</w:t>
      </w:r>
      <w:r w:rsidR="00997BBA">
        <w:rPr>
          <w:rFonts w:cstheme="minorHAnsi"/>
        </w:rPr>
        <w:t xml:space="preserve"> Kapitalne pomoći unutar općeg proračuna isplaćene su Općini Gornja Stubica u iznosu od 150.000 kn za izgradnju Spomen hiže Rudolfu Perešinu.</w:t>
      </w:r>
    </w:p>
    <w:p w:rsidR="00340ED0" w:rsidRDefault="00340ED0" w:rsidP="001B5FD7">
      <w:pPr>
        <w:tabs>
          <w:tab w:val="center" w:pos="-2977"/>
          <w:tab w:val="left" w:pos="540"/>
        </w:tabs>
        <w:jc w:val="both"/>
        <w:rPr>
          <w:rFonts w:cstheme="minorHAnsi"/>
        </w:rPr>
      </w:pPr>
      <w:r w:rsidRPr="00340ED0">
        <w:rPr>
          <w:rFonts w:cstheme="minorHAnsi"/>
          <w:u w:val="single"/>
        </w:rPr>
        <w:t xml:space="preserve">Tekuće pomoći proračunskim korisnicima drugih proračuna (AOP 232) </w:t>
      </w:r>
      <w:r>
        <w:rPr>
          <w:rFonts w:cstheme="minorHAnsi"/>
        </w:rPr>
        <w:t xml:space="preserve">-  </w:t>
      </w:r>
      <w:r w:rsidR="00202886">
        <w:rPr>
          <w:rFonts w:cstheme="minorHAnsi"/>
        </w:rPr>
        <w:t>iznose 7.</w:t>
      </w:r>
      <w:r w:rsidR="00271AD8">
        <w:rPr>
          <w:rFonts w:cstheme="minorHAnsi"/>
        </w:rPr>
        <w:t>546.500</w:t>
      </w:r>
      <w:r w:rsidR="00202886">
        <w:rPr>
          <w:rFonts w:cstheme="minorHAnsi"/>
        </w:rPr>
        <w:t xml:space="preserve"> kn i odnose se na doznake sredstava Centru za socijalnu skrb.</w:t>
      </w:r>
    </w:p>
    <w:p w:rsidR="00202886" w:rsidRDefault="00202886" w:rsidP="001B5FD7">
      <w:pPr>
        <w:tabs>
          <w:tab w:val="center" w:pos="-2977"/>
          <w:tab w:val="left" w:pos="540"/>
        </w:tabs>
        <w:jc w:val="both"/>
        <w:rPr>
          <w:rFonts w:cstheme="minorHAnsi"/>
        </w:rPr>
      </w:pPr>
      <w:r w:rsidRPr="00202886">
        <w:rPr>
          <w:rFonts w:cstheme="minorHAnsi"/>
          <w:u w:val="single"/>
        </w:rPr>
        <w:t xml:space="preserve">Prijenos proračunskim korisnicima iz nadležnog proračuna za financiranje redovne djelatnosti (AOP 234) </w:t>
      </w:r>
      <w:r>
        <w:rPr>
          <w:rFonts w:cstheme="minorHAnsi"/>
          <w:u w:val="single"/>
        </w:rPr>
        <w:t xml:space="preserve">– </w:t>
      </w:r>
      <w:r w:rsidRPr="00202886">
        <w:rPr>
          <w:rFonts w:cstheme="minorHAnsi"/>
        </w:rPr>
        <w:t xml:space="preserve">na ovoj skupini računa evidentirani su prijenosi proračunskim korisnicima u iznosu </w:t>
      </w:r>
      <w:r>
        <w:rPr>
          <w:rFonts w:cstheme="minorHAnsi"/>
        </w:rPr>
        <w:t>2.</w:t>
      </w:r>
      <w:r w:rsidR="00271AD8">
        <w:rPr>
          <w:rFonts w:cstheme="minorHAnsi"/>
        </w:rPr>
        <w:t>113.721.245</w:t>
      </w:r>
      <w:r>
        <w:rPr>
          <w:rFonts w:cstheme="minorHAnsi"/>
        </w:rPr>
        <w:t xml:space="preserve"> kn i veći su u odnosu na prethodnu godinu za </w:t>
      </w:r>
      <w:r w:rsidR="00271AD8">
        <w:rPr>
          <w:rFonts w:cstheme="minorHAnsi"/>
        </w:rPr>
        <w:t>6</w:t>
      </w:r>
      <w:r>
        <w:rPr>
          <w:rFonts w:cstheme="minorHAnsi"/>
        </w:rPr>
        <w:t>%. Ovi ra</w:t>
      </w:r>
      <w:r w:rsidR="00B83E65">
        <w:rPr>
          <w:rFonts w:cstheme="minorHAnsi"/>
        </w:rPr>
        <w:t>s</w:t>
      </w:r>
      <w:r>
        <w:rPr>
          <w:rFonts w:cstheme="minorHAnsi"/>
        </w:rPr>
        <w:t>hodi će se u potpunosti eliminirati u konsolidaciji na razini „</w:t>
      </w:r>
      <w:r w:rsidR="00BE259F">
        <w:rPr>
          <w:rFonts w:cstheme="minorHAnsi"/>
        </w:rPr>
        <w:t>23“.</w:t>
      </w:r>
    </w:p>
    <w:p w:rsidR="00BE259F" w:rsidRDefault="00BE259F" w:rsidP="001B5FD7">
      <w:pPr>
        <w:tabs>
          <w:tab w:val="center" w:pos="-2977"/>
          <w:tab w:val="left" w:pos="540"/>
        </w:tabs>
        <w:jc w:val="both"/>
        <w:rPr>
          <w:rFonts w:ascii="Calibri" w:hAnsi="Calibri"/>
        </w:rPr>
      </w:pPr>
      <w:r w:rsidRPr="00BE259F">
        <w:rPr>
          <w:rFonts w:cstheme="minorHAnsi"/>
          <w:b/>
        </w:rPr>
        <w:t>Naknade građanima i kućanstvima u novcu (AOP 246)</w:t>
      </w:r>
      <w:r>
        <w:rPr>
          <w:rFonts w:cstheme="minorHAnsi"/>
          <w:b/>
        </w:rPr>
        <w:t xml:space="preserve"> – </w:t>
      </w:r>
      <w:r>
        <w:rPr>
          <w:rFonts w:cstheme="minorHAnsi"/>
        </w:rPr>
        <w:t xml:space="preserve">isplaćene su u iznosu </w:t>
      </w:r>
      <w:r w:rsidR="008E7206">
        <w:rPr>
          <w:rFonts w:cstheme="minorHAnsi"/>
        </w:rPr>
        <w:t>637.927.527</w:t>
      </w:r>
      <w:r>
        <w:rPr>
          <w:rFonts w:cstheme="minorHAnsi"/>
        </w:rPr>
        <w:t xml:space="preserve"> kn i to je </w:t>
      </w:r>
      <w:r w:rsidR="004962C7">
        <w:rPr>
          <w:rFonts w:cstheme="minorHAnsi"/>
        </w:rPr>
        <w:t>1</w:t>
      </w:r>
      <w:r>
        <w:rPr>
          <w:rFonts w:cstheme="minorHAnsi"/>
        </w:rPr>
        <w:t xml:space="preserve">3% više nego prethodne godine. </w:t>
      </w:r>
      <w:r w:rsidR="004962C7">
        <w:rPr>
          <w:rFonts w:ascii="Calibri" w:hAnsi="Calibri"/>
        </w:rPr>
        <w:t>Najveće povećanje u iznosu od 90.019.849 kn je na stavci „Majke odgajateljice“ jer se sve više povećava broj korisnika ove mjere.</w:t>
      </w:r>
    </w:p>
    <w:p w:rsidR="00BE259F" w:rsidRDefault="00BE259F" w:rsidP="001B5FD7">
      <w:pPr>
        <w:pStyle w:val="ListParagraph"/>
        <w:numPr>
          <w:ilvl w:val="0"/>
          <w:numId w:val="6"/>
        </w:numPr>
        <w:tabs>
          <w:tab w:val="center" w:pos="-2977"/>
          <w:tab w:val="left" w:pos="540"/>
        </w:tabs>
        <w:jc w:val="both"/>
        <w:rPr>
          <w:rFonts w:cstheme="minorHAnsi"/>
        </w:rPr>
      </w:pPr>
      <w:r>
        <w:rPr>
          <w:rFonts w:cstheme="minorHAnsi"/>
        </w:rPr>
        <w:t xml:space="preserve">Novčana pomoć za novorođenčad  - </w:t>
      </w:r>
      <w:r w:rsidR="004962C7">
        <w:rPr>
          <w:rFonts w:cstheme="minorHAnsi"/>
        </w:rPr>
        <w:t>77.929.400</w:t>
      </w:r>
      <w:r>
        <w:rPr>
          <w:rFonts w:cstheme="minorHAnsi"/>
        </w:rPr>
        <w:t xml:space="preserve"> kn,</w:t>
      </w:r>
    </w:p>
    <w:p w:rsidR="00BE259F" w:rsidRDefault="00BE259F" w:rsidP="001B5FD7">
      <w:pPr>
        <w:pStyle w:val="ListParagraph"/>
        <w:numPr>
          <w:ilvl w:val="0"/>
          <w:numId w:val="6"/>
        </w:numPr>
        <w:tabs>
          <w:tab w:val="center" w:pos="-2977"/>
          <w:tab w:val="left" w:pos="540"/>
        </w:tabs>
        <w:jc w:val="both"/>
        <w:rPr>
          <w:rFonts w:cstheme="minorHAnsi"/>
        </w:rPr>
      </w:pPr>
      <w:r>
        <w:rPr>
          <w:rFonts w:cstheme="minorHAnsi"/>
        </w:rPr>
        <w:t xml:space="preserve">Naknade za mirovine i dodatke       -  </w:t>
      </w:r>
      <w:r w:rsidR="004962C7">
        <w:rPr>
          <w:rFonts w:cstheme="minorHAnsi"/>
        </w:rPr>
        <w:t>64.240.670</w:t>
      </w:r>
      <w:r>
        <w:rPr>
          <w:rFonts w:cstheme="minorHAnsi"/>
        </w:rPr>
        <w:t xml:space="preserve"> kn,</w:t>
      </w:r>
    </w:p>
    <w:p w:rsidR="000C19A2" w:rsidRDefault="000C19A2" w:rsidP="001B5FD7">
      <w:pPr>
        <w:pStyle w:val="ListParagraph"/>
        <w:numPr>
          <w:ilvl w:val="0"/>
          <w:numId w:val="6"/>
        </w:numPr>
        <w:tabs>
          <w:tab w:val="center" w:pos="-2977"/>
          <w:tab w:val="left" w:pos="540"/>
        </w:tabs>
        <w:jc w:val="both"/>
        <w:rPr>
          <w:rFonts w:cstheme="minorHAnsi"/>
        </w:rPr>
      </w:pPr>
      <w:r>
        <w:rPr>
          <w:rFonts w:cstheme="minorHAnsi"/>
        </w:rPr>
        <w:t>Pomoć obiteljima i kućanstvima</w:t>
      </w:r>
      <w:r>
        <w:rPr>
          <w:rFonts w:cstheme="minorHAnsi"/>
        </w:rPr>
        <w:tab/>
      </w:r>
      <w:r w:rsidR="004962C7">
        <w:rPr>
          <w:rFonts w:cstheme="minorHAnsi"/>
        </w:rPr>
        <w:t xml:space="preserve">  </w:t>
      </w:r>
      <w:r>
        <w:rPr>
          <w:rFonts w:cstheme="minorHAnsi"/>
        </w:rPr>
        <w:t xml:space="preserve">-     </w:t>
      </w:r>
      <w:r w:rsidR="004962C7">
        <w:rPr>
          <w:rFonts w:cstheme="minorHAnsi"/>
        </w:rPr>
        <w:t xml:space="preserve">1.115.440 </w:t>
      </w:r>
      <w:r>
        <w:rPr>
          <w:rFonts w:cstheme="minorHAnsi"/>
        </w:rPr>
        <w:t>kn,</w:t>
      </w:r>
    </w:p>
    <w:p w:rsidR="00BE259F" w:rsidRDefault="00BE259F" w:rsidP="001B5FD7">
      <w:pPr>
        <w:pStyle w:val="ListParagraph"/>
        <w:numPr>
          <w:ilvl w:val="0"/>
          <w:numId w:val="6"/>
        </w:numPr>
        <w:tabs>
          <w:tab w:val="center" w:pos="-2977"/>
          <w:tab w:val="left" w:pos="540"/>
        </w:tabs>
        <w:jc w:val="both"/>
        <w:rPr>
          <w:rFonts w:cstheme="minorHAnsi"/>
        </w:rPr>
      </w:pPr>
      <w:r>
        <w:rPr>
          <w:rFonts w:cstheme="minorHAnsi"/>
        </w:rPr>
        <w:t xml:space="preserve">Stipendije i školarine </w:t>
      </w:r>
      <w:r>
        <w:rPr>
          <w:rFonts w:cstheme="minorHAnsi"/>
        </w:rPr>
        <w:tab/>
      </w:r>
      <w:r>
        <w:rPr>
          <w:rFonts w:cstheme="minorHAnsi"/>
        </w:rPr>
        <w:tab/>
      </w:r>
      <w:r w:rsidR="004962C7">
        <w:rPr>
          <w:rFonts w:cstheme="minorHAnsi"/>
        </w:rPr>
        <w:t xml:space="preserve">  </w:t>
      </w:r>
      <w:r>
        <w:rPr>
          <w:rFonts w:cstheme="minorHAnsi"/>
        </w:rPr>
        <w:t xml:space="preserve">- </w:t>
      </w:r>
      <w:r w:rsidR="004962C7">
        <w:rPr>
          <w:rFonts w:cstheme="minorHAnsi"/>
        </w:rPr>
        <w:t xml:space="preserve">  30.527.229</w:t>
      </w:r>
      <w:r>
        <w:rPr>
          <w:rFonts w:cstheme="minorHAnsi"/>
        </w:rPr>
        <w:t xml:space="preserve"> kn,</w:t>
      </w:r>
    </w:p>
    <w:p w:rsidR="00BE259F" w:rsidRDefault="00BE259F" w:rsidP="001B5FD7">
      <w:pPr>
        <w:pStyle w:val="ListParagraph"/>
        <w:numPr>
          <w:ilvl w:val="0"/>
          <w:numId w:val="6"/>
        </w:numPr>
        <w:tabs>
          <w:tab w:val="center" w:pos="-2977"/>
          <w:tab w:val="left" w:pos="540"/>
        </w:tabs>
        <w:jc w:val="both"/>
        <w:rPr>
          <w:rFonts w:cstheme="minorHAnsi"/>
        </w:rPr>
      </w:pPr>
      <w:r>
        <w:rPr>
          <w:rFonts w:cstheme="minorHAnsi"/>
        </w:rPr>
        <w:t>Ostale naknade</w:t>
      </w:r>
      <w:r w:rsidR="000C19A2">
        <w:rPr>
          <w:rFonts w:cstheme="minorHAnsi"/>
        </w:rPr>
        <w:t xml:space="preserve"> u novcu</w:t>
      </w:r>
      <w:r>
        <w:rPr>
          <w:rFonts w:cstheme="minorHAnsi"/>
        </w:rPr>
        <w:tab/>
      </w:r>
      <w:r>
        <w:rPr>
          <w:rFonts w:cstheme="minorHAnsi"/>
        </w:rPr>
        <w:tab/>
      </w:r>
      <w:r w:rsidR="004962C7">
        <w:rPr>
          <w:rFonts w:cstheme="minorHAnsi"/>
        </w:rPr>
        <w:t xml:space="preserve">  </w:t>
      </w:r>
      <w:r>
        <w:rPr>
          <w:rFonts w:cstheme="minorHAnsi"/>
        </w:rPr>
        <w:t xml:space="preserve">- </w:t>
      </w:r>
      <w:r w:rsidR="004962C7">
        <w:rPr>
          <w:rFonts w:cstheme="minorHAnsi"/>
        </w:rPr>
        <w:t xml:space="preserve">  </w:t>
      </w:r>
      <w:r w:rsidR="004D478B">
        <w:rPr>
          <w:rFonts w:cstheme="minorHAnsi"/>
        </w:rPr>
        <w:t xml:space="preserve">      591.649</w:t>
      </w:r>
      <w:r>
        <w:rPr>
          <w:rFonts w:cstheme="minorHAnsi"/>
        </w:rPr>
        <w:t xml:space="preserve"> kn,</w:t>
      </w:r>
    </w:p>
    <w:p w:rsidR="00BE259F" w:rsidRDefault="00BE259F" w:rsidP="001B5FD7">
      <w:pPr>
        <w:pStyle w:val="ListParagraph"/>
        <w:numPr>
          <w:ilvl w:val="0"/>
          <w:numId w:val="6"/>
        </w:numPr>
        <w:tabs>
          <w:tab w:val="center" w:pos="-2977"/>
          <w:tab w:val="left" w:pos="540"/>
        </w:tabs>
        <w:jc w:val="both"/>
        <w:rPr>
          <w:rFonts w:cstheme="minorHAnsi"/>
        </w:rPr>
      </w:pPr>
      <w:r>
        <w:rPr>
          <w:rFonts w:cstheme="minorHAnsi"/>
        </w:rPr>
        <w:t>Potpore djeci branitelja</w:t>
      </w:r>
      <w:r>
        <w:rPr>
          <w:rFonts w:cstheme="minorHAnsi"/>
        </w:rPr>
        <w:tab/>
      </w:r>
      <w:r>
        <w:rPr>
          <w:rFonts w:cstheme="minorHAnsi"/>
        </w:rPr>
        <w:tab/>
      </w:r>
      <w:r w:rsidR="004962C7">
        <w:rPr>
          <w:rFonts w:cstheme="minorHAnsi"/>
        </w:rPr>
        <w:t xml:space="preserve">  </w:t>
      </w:r>
      <w:r>
        <w:rPr>
          <w:rFonts w:cstheme="minorHAnsi"/>
        </w:rPr>
        <w:t xml:space="preserve">- </w:t>
      </w:r>
      <w:r w:rsidR="004D478B">
        <w:rPr>
          <w:rFonts w:cstheme="minorHAnsi"/>
        </w:rPr>
        <w:t xml:space="preserve"> </w:t>
      </w:r>
      <w:r>
        <w:rPr>
          <w:rFonts w:cstheme="minorHAnsi"/>
        </w:rPr>
        <w:t xml:space="preserve">    </w:t>
      </w:r>
      <w:r w:rsidR="000C19A2">
        <w:rPr>
          <w:rFonts w:cstheme="minorHAnsi"/>
        </w:rPr>
        <w:t xml:space="preserve">  </w:t>
      </w:r>
      <w:r w:rsidR="00CD190F">
        <w:rPr>
          <w:rFonts w:cstheme="minorHAnsi"/>
        </w:rPr>
        <w:t xml:space="preserve"> </w:t>
      </w:r>
      <w:r w:rsidR="004962C7">
        <w:rPr>
          <w:rFonts w:cstheme="minorHAnsi"/>
        </w:rPr>
        <w:t>134.895</w:t>
      </w:r>
      <w:r>
        <w:rPr>
          <w:rFonts w:cstheme="minorHAnsi"/>
        </w:rPr>
        <w:t xml:space="preserve"> kn,</w:t>
      </w:r>
    </w:p>
    <w:p w:rsidR="00BE259F" w:rsidRDefault="00BE259F" w:rsidP="001B5FD7">
      <w:pPr>
        <w:pStyle w:val="ListParagraph"/>
        <w:numPr>
          <w:ilvl w:val="0"/>
          <w:numId w:val="6"/>
        </w:numPr>
        <w:tabs>
          <w:tab w:val="center" w:pos="-2977"/>
          <w:tab w:val="left" w:pos="540"/>
        </w:tabs>
        <w:jc w:val="both"/>
        <w:rPr>
          <w:rFonts w:cstheme="minorHAnsi"/>
        </w:rPr>
      </w:pPr>
      <w:r>
        <w:rPr>
          <w:rFonts w:cstheme="minorHAnsi"/>
        </w:rPr>
        <w:t>Majke odgajateljice</w:t>
      </w:r>
      <w:r>
        <w:rPr>
          <w:rFonts w:cstheme="minorHAnsi"/>
        </w:rPr>
        <w:tab/>
      </w:r>
      <w:r>
        <w:rPr>
          <w:rFonts w:cstheme="minorHAnsi"/>
        </w:rPr>
        <w:tab/>
      </w:r>
      <w:r w:rsidR="004962C7">
        <w:rPr>
          <w:rFonts w:cstheme="minorHAnsi"/>
        </w:rPr>
        <w:t xml:space="preserve"> </w:t>
      </w:r>
      <w:r w:rsidR="004D478B">
        <w:rPr>
          <w:rFonts w:cstheme="minorHAnsi"/>
        </w:rPr>
        <w:t xml:space="preserve"> </w:t>
      </w:r>
      <w:r>
        <w:rPr>
          <w:rFonts w:cstheme="minorHAnsi"/>
        </w:rPr>
        <w:t>-</w:t>
      </w:r>
      <w:r w:rsidR="004D478B">
        <w:rPr>
          <w:rFonts w:cstheme="minorHAnsi"/>
        </w:rPr>
        <w:t xml:space="preserve"> </w:t>
      </w:r>
      <w:r w:rsidR="004962C7">
        <w:rPr>
          <w:rFonts w:cstheme="minorHAnsi"/>
        </w:rPr>
        <w:t>290.729.287</w:t>
      </w:r>
      <w:r w:rsidR="000C19A2">
        <w:rPr>
          <w:rFonts w:cstheme="minorHAnsi"/>
        </w:rPr>
        <w:t xml:space="preserve"> kn,</w:t>
      </w:r>
    </w:p>
    <w:p w:rsidR="000C19A2" w:rsidRDefault="000C19A2" w:rsidP="001B5FD7">
      <w:pPr>
        <w:pStyle w:val="ListParagraph"/>
        <w:numPr>
          <w:ilvl w:val="0"/>
          <w:numId w:val="6"/>
        </w:numPr>
        <w:tabs>
          <w:tab w:val="center" w:pos="-2977"/>
          <w:tab w:val="left" w:pos="540"/>
        </w:tabs>
        <w:jc w:val="both"/>
        <w:rPr>
          <w:rFonts w:cstheme="minorHAnsi"/>
        </w:rPr>
      </w:pPr>
      <w:r>
        <w:rPr>
          <w:rFonts w:cstheme="minorHAnsi"/>
        </w:rPr>
        <w:t xml:space="preserve">Sufinanciranje cijene prijevoza     </w:t>
      </w:r>
      <w:r w:rsidR="004962C7">
        <w:rPr>
          <w:rFonts w:cstheme="minorHAnsi"/>
        </w:rPr>
        <w:t xml:space="preserve">  </w:t>
      </w:r>
      <w:r>
        <w:rPr>
          <w:rFonts w:cstheme="minorHAnsi"/>
        </w:rPr>
        <w:t xml:space="preserve">- </w:t>
      </w:r>
      <w:r w:rsidR="004962C7">
        <w:rPr>
          <w:rFonts w:cstheme="minorHAnsi"/>
        </w:rPr>
        <w:t xml:space="preserve"> </w:t>
      </w:r>
      <w:r w:rsidR="004D478B">
        <w:rPr>
          <w:rFonts w:cstheme="minorHAnsi"/>
        </w:rPr>
        <w:t>128.028.383</w:t>
      </w:r>
      <w:r>
        <w:rPr>
          <w:rFonts w:cstheme="minorHAnsi"/>
        </w:rPr>
        <w:t xml:space="preserve"> kn,</w:t>
      </w:r>
    </w:p>
    <w:p w:rsidR="000C19A2" w:rsidRDefault="000C19A2" w:rsidP="001B5FD7">
      <w:pPr>
        <w:pStyle w:val="ListParagraph"/>
        <w:numPr>
          <w:ilvl w:val="0"/>
          <w:numId w:val="6"/>
        </w:numPr>
        <w:tabs>
          <w:tab w:val="center" w:pos="-2977"/>
          <w:tab w:val="left" w:pos="540"/>
        </w:tabs>
        <w:jc w:val="both"/>
        <w:rPr>
          <w:rFonts w:cstheme="minorHAnsi"/>
        </w:rPr>
      </w:pPr>
      <w:r>
        <w:rPr>
          <w:rFonts w:cstheme="minorHAnsi"/>
        </w:rPr>
        <w:t>Pomoć i njega u kući</w:t>
      </w:r>
      <w:r>
        <w:rPr>
          <w:rFonts w:cstheme="minorHAnsi"/>
        </w:rPr>
        <w:tab/>
      </w:r>
      <w:r>
        <w:rPr>
          <w:rFonts w:cstheme="minorHAnsi"/>
        </w:rPr>
        <w:tab/>
      </w:r>
      <w:r w:rsidR="004D478B">
        <w:rPr>
          <w:rFonts w:cstheme="minorHAnsi"/>
        </w:rPr>
        <w:t xml:space="preserve">  -  </w:t>
      </w:r>
      <w:r>
        <w:rPr>
          <w:rFonts w:cstheme="minorHAnsi"/>
        </w:rPr>
        <w:t xml:space="preserve">    3.</w:t>
      </w:r>
      <w:r w:rsidR="004D478B">
        <w:rPr>
          <w:rFonts w:cstheme="minorHAnsi"/>
        </w:rPr>
        <w:t>351.672</w:t>
      </w:r>
      <w:r>
        <w:rPr>
          <w:rFonts w:cstheme="minorHAnsi"/>
        </w:rPr>
        <w:t xml:space="preserve"> kn,</w:t>
      </w:r>
    </w:p>
    <w:p w:rsidR="000C19A2" w:rsidRDefault="000C19A2" w:rsidP="001B5FD7">
      <w:pPr>
        <w:pStyle w:val="ListParagraph"/>
        <w:numPr>
          <w:ilvl w:val="0"/>
          <w:numId w:val="6"/>
        </w:numPr>
        <w:tabs>
          <w:tab w:val="center" w:pos="-2977"/>
          <w:tab w:val="left" w:pos="540"/>
        </w:tabs>
        <w:jc w:val="both"/>
        <w:rPr>
          <w:rFonts w:cstheme="minorHAnsi"/>
        </w:rPr>
      </w:pPr>
      <w:r>
        <w:rPr>
          <w:rFonts w:cstheme="minorHAnsi"/>
        </w:rPr>
        <w:t>Ostale naknade u naravi</w:t>
      </w:r>
      <w:r>
        <w:rPr>
          <w:rFonts w:cstheme="minorHAnsi"/>
        </w:rPr>
        <w:tab/>
      </w:r>
      <w:r>
        <w:rPr>
          <w:rFonts w:cstheme="minorHAnsi"/>
        </w:rPr>
        <w:tab/>
      </w:r>
      <w:r w:rsidR="004D478B">
        <w:rPr>
          <w:rFonts w:cstheme="minorHAnsi"/>
        </w:rPr>
        <w:t xml:space="preserve">  </w:t>
      </w:r>
      <w:r>
        <w:rPr>
          <w:rFonts w:cstheme="minorHAnsi"/>
        </w:rPr>
        <w:t xml:space="preserve">-  </w:t>
      </w:r>
      <w:r w:rsidR="004D478B">
        <w:rPr>
          <w:rFonts w:cstheme="minorHAnsi"/>
        </w:rPr>
        <w:t xml:space="preserve"> </w:t>
      </w:r>
      <w:r>
        <w:rPr>
          <w:rFonts w:cstheme="minorHAnsi"/>
        </w:rPr>
        <w:t xml:space="preserve"> </w:t>
      </w:r>
      <w:r w:rsidR="004D478B">
        <w:rPr>
          <w:rFonts w:cstheme="minorHAnsi"/>
        </w:rPr>
        <w:t>41.278.902</w:t>
      </w:r>
      <w:r>
        <w:rPr>
          <w:rFonts w:cstheme="minorHAnsi"/>
        </w:rPr>
        <w:t xml:space="preserve"> kn.</w:t>
      </w:r>
    </w:p>
    <w:p w:rsidR="00660079" w:rsidRDefault="00003D36" w:rsidP="001B5FD7">
      <w:pPr>
        <w:tabs>
          <w:tab w:val="center" w:pos="-2977"/>
          <w:tab w:val="left" w:pos="540"/>
        </w:tabs>
        <w:jc w:val="both"/>
        <w:rPr>
          <w:rFonts w:cstheme="minorHAnsi"/>
        </w:rPr>
      </w:pPr>
      <w:r w:rsidRPr="00003D36">
        <w:rPr>
          <w:rFonts w:cstheme="minorHAnsi"/>
          <w:u w:val="single"/>
        </w:rPr>
        <w:t>Tekuće donacije (AOP 258)</w:t>
      </w:r>
      <w:r>
        <w:rPr>
          <w:rFonts w:cstheme="minorHAnsi"/>
        </w:rPr>
        <w:t xml:space="preserve"> – isplaćene su u iznosu 448.</w:t>
      </w:r>
      <w:r w:rsidR="00C44F5A">
        <w:rPr>
          <w:rFonts w:cstheme="minorHAnsi"/>
        </w:rPr>
        <w:t>059.364</w:t>
      </w:r>
      <w:r>
        <w:rPr>
          <w:rFonts w:cstheme="minorHAnsi"/>
        </w:rPr>
        <w:t xml:space="preserve"> kn</w:t>
      </w:r>
      <w:r w:rsidR="00C44F5A">
        <w:rPr>
          <w:rFonts w:cstheme="minorHAnsi"/>
        </w:rPr>
        <w:t>.</w:t>
      </w:r>
      <w:r>
        <w:rPr>
          <w:rFonts w:cstheme="minorHAnsi"/>
        </w:rPr>
        <w:t xml:space="preserve"> </w:t>
      </w:r>
      <w:r w:rsidR="00660079">
        <w:rPr>
          <w:rFonts w:cstheme="minorHAnsi"/>
        </w:rPr>
        <w:t xml:space="preserve">Tekuće donacije </w:t>
      </w:r>
      <w:r w:rsidR="00C44F5A">
        <w:rPr>
          <w:rFonts w:cstheme="minorHAnsi"/>
        </w:rPr>
        <w:t xml:space="preserve">isplaćene su: </w:t>
      </w:r>
      <w:r w:rsidR="00660079">
        <w:rPr>
          <w:rFonts w:cstheme="minorHAnsi"/>
        </w:rPr>
        <w:t xml:space="preserve">vjerskim zajednicama </w:t>
      </w:r>
      <w:r w:rsidR="00C44F5A">
        <w:rPr>
          <w:rFonts w:cstheme="minorHAnsi"/>
        </w:rPr>
        <w:t xml:space="preserve">u iznosu 2.874.610 </w:t>
      </w:r>
      <w:r w:rsidR="00660079">
        <w:rPr>
          <w:rFonts w:cstheme="minorHAnsi"/>
        </w:rPr>
        <w:t xml:space="preserve">kn, nacionalnim manjinama </w:t>
      </w:r>
      <w:r w:rsidR="00C44F5A">
        <w:rPr>
          <w:rFonts w:cstheme="minorHAnsi"/>
        </w:rPr>
        <w:t>542.173</w:t>
      </w:r>
      <w:r w:rsidR="00660079">
        <w:rPr>
          <w:rFonts w:cstheme="minorHAnsi"/>
        </w:rPr>
        <w:t xml:space="preserve"> kn, udrugama i političkim strankama </w:t>
      </w:r>
      <w:r w:rsidR="00C44F5A">
        <w:rPr>
          <w:rFonts w:cstheme="minorHAnsi"/>
        </w:rPr>
        <w:t>31.924.351</w:t>
      </w:r>
      <w:r w:rsidR="00660079">
        <w:rPr>
          <w:rFonts w:cstheme="minorHAnsi"/>
        </w:rPr>
        <w:t xml:space="preserve"> kn, sportskim društvima </w:t>
      </w:r>
      <w:r w:rsidR="00C44F5A">
        <w:rPr>
          <w:rFonts w:cstheme="minorHAnsi"/>
        </w:rPr>
        <w:t xml:space="preserve">210.640.078 kn, zakladama i fundacijama 3.316.900 </w:t>
      </w:r>
      <w:r w:rsidR="00660079">
        <w:rPr>
          <w:rFonts w:cstheme="minorHAnsi"/>
        </w:rPr>
        <w:t>kn</w:t>
      </w:r>
      <w:r w:rsidR="00C44F5A">
        <w:rPr>
          <w:rFonts w:cstheme="minorHAnsi"/>
        </w:rPr>
        <w:t>, humanitarnim organizacijama 48.032 kn te</w:t>
      </w:r>
      <w:r w:rsidR="00660079">
        <w:rPr>
          <w:rFonts w:cstheme="minorHAnsi"/>
        </w:rPr>
        <w:t xml:space="preserve"> ostale tekuće donacije </w:t>
      </w:r>
      <w:r w:rsidR="00C44F5A">
        <w:rPr>
          <w:rFonts w:cstheme="minorHAnsi"/>
        </w:rPr>
        <w:t xml:space="preserve">koje se odnose na isplate </w:t>
      </w:r>
      <w:r w:rsidR="00660079">
        <w:rPr>
          <w:rFonts w:cstheme="minorHAnsi"/>
        </w:rPr>
        <w:t>neprofitn</w:t>
      </w:r>
      <w:r w:rsidR="00C44F5A">
        <w:rPr>
          <w:rFonts w:cstheme="minorHAnsi"/>
        </w:rPr>
        <w:t>im</w:t>
      </w:r>
      <w:r w:rsidR="00660079">
        <w:rPr>
          <w:rFonts w:cstheme="minorHAnsi"/>
        </w:rPr>
        <w:t xml:space="preserve"> organizacij</w:t>
      </w:r>
      <w:r w:rsidR="00C44F5A">
        <w:rPr>
          <w:rFonts w:cstheme="minorHAnsi"/>
        </w:rPr>
        <w:t>ama</w:t>
      </w:r>
      <w:r w:rsidR="00660079">
        <w:rPr>
          <w:rFonts w:cstheme="minorHAnsi"/>
        </w:rPr>
        <w:t xml:space="preserve"> iz djelatnosti zdravstva, kulture, privatnim i vjerskim vrtićima, organizacijama i zakladama iz djelatnosti socijale i sl. </w:t>
      </w:r>
      <w:r w:rsidR="00C44F5A">
        <w:rPr>
          <w:rFonts w:cstheme="minorHAnsi"/>
        </w:rPr>
        <w:t>198.</w:t>
      </w:r>
      <w:r w:rsidR="00C4321C">
        <w:rPr>
          <w:rFonts w:cstheme="minorHAnsi"/>
        </w:rPr>
        <w:t>713.220</w:t>
      </w:r>
      <w:r w:rsidR="00660079">
        <w:rPr>
          <w:rFonts w:cstheme="minorHAnsi"/>
        </w:rPr>
        <w:t xml:space="preserve"> kn.</w:t>
      </w:r>
    </w:p>
    <w:p w:rsidR="00003D36" w:rsidRDefault="00660079" w:rsidP="001B5FD7">
      <w:pPr>
        <w:tabs>
          <w:tab w:val="center" w:pos="-2977"/>
          <w:tab w:val="left" w:pos="540"/>
        </w:tabs>
        <w:jc w:val="both"/>
        <w:rPr>
          <w:rFonts w:cstheme="minorHAnsi"/>
        </w:rPr>
      </w:pPr>
      <w:r w:rsidRPr="00660079">
        <w:rPr>
          <w:rFonts w:cstheme="minorHAnsi"/>
          <w:u w:val="single"/>
        </w:rPr>
        <w:t>Kapitalne donacije (AOP 262</w:t>
      </w:r>
      <w:r>
        <w:rPr>
          <w:rFonts w:cstheme="minorHAnsi"/>
        </w:rPr>
        <w:t xml:space="preserve">) -  </w:t>
      </w:r>
      <w:r w:rsidR="00EF3864">
        <w:rPr>
          <w:rFonts w:cstheme="minorHAnsi"/>
        </w:rPr>
        <w:t xml:space="preserve">iznose </w:t>
      </w:r>
      <w:r w:rsidR="00FE70EE">
        <w:rPr>
          <w:rFonts w:cstheme="minorHAnsi"/>
        </w:rPr>
        <w:t>36.541.508</w:t>
      </w:r>
      <w:r w:rsidR="00F31A90">
        <w:rPr>
          <w:rFonts w:cstheme="minorHAnsi"/>
        </w:rPr>
        <w:t xml:space="preserve"> kn. I</w:t>
      </w:r>
      <w:r w:rsidR="00EF3864">
        <w:rPr>
          <w:rFonts w:cstheme="minorHAnsi"/>
        </w:rPr>
        <w:t xml:space="preserve">splaćene su vjerskim zajednicama </w:t>
      </w:r>
      <w:r w:rsidR="00F31A90">
        <w:rPr>
          <w:rFonts w:cstheme="minorHAnsi"/>
        </w:rPr>
        <w:t>5.862.819</w:t>
      </w:r>
      <w:r w:rsidR="00EF3864">
        <w:rPr>
          <w:rFonts w:cstheme="minorHAnsi"/>
        </w:rPr>
        <w:t xml:space="preserve"> kn, </w:t>
      </w:r>
      <w:r w:rsidR="00F31A90">
        <w:rPr>
          <w:rFonts w:cstheme="minorHAnsi"/>
        </w:rPr>
        <w:t>a</w:t>
      </w:r>
      <w:r w:rsidR="00EF3864">
        <w:rPr>
          <w:rFonts w:cstheme="minorHAnsi"/>
        </w:rPr>
        <w:t xml:space="preserve"> donacije za gradnju i obnovu objekata (sanacija pročelja – zaštita spomenika kulture)</w:t>
      </w:r>
      <w:r w:rsidR="00F31A90">
        <w:rPr>
          <w:rFonts w:cstheme="minorHAnsi"/>
        </w:rPr>
        <w:t xml:space="preserve"> iznose</w:t>
      </w:r>
      <w:r w:rsidR="00EF3864">
        <w:rPr>
          <w:rFonts w:cstheme="minorHAnsi"/>
        </w:rPr>
        <w:t xml:space="preserve"> </w:t>
      </w:r>
      <w:r w:rsidR="00F31A90">
        <w:rPr>
          <w:rFonts w:cstheme="minorHAnsi"/>
        </w:rPr>
        <w:t>30.678.689</w:t>
      </w:r>
      <w:r w:rsidR="00EF3864">
        <w:rPr>
          <w:rFonts w:cstheme="minorHAnsi"/>
        </w:rPr>
        <w:t xml:space="preserve"> kn.</w:t>
      </w:r>
    </w:p>
    <w:p w:rsidR="00EF3864" w:rsidRDefault="00EF3864" w:rsidP="001B5FD7">
      <w:pPr>
        <w:tabs>
          <w:tab w:val="center" w:pos="-2977"/>
          <w:tab w:val="left" w:pos="540"/>
        </w:tabs>
        <w:jc w:val="both"/>
        <w:rPr>
          <w:rFonts w:cstheme="minorHAnsi"/>
        </w:rPr>
      </w:pPr>
      <w:r w:rsidRPr="00EF3864">
        <w:rPr>
          <w:rFonts w:cstheme="minorHAnsi"/>
          <w:u w:val="single"/>
        </w:rPr>
        <w:t xml:space="preserve">Kazne, penali i naknade štete (AOP 266) </w:t>
      </w:r>
      <w:r>
        <w:rPr>
          <w:rFonts w:cstheme="minorHAnsi"/>
          <w:u w:val="single"/>
        </w:rPr>
        <w:t>–</w:t>
      </w:r>
      <w:r w:rsidR="008E5F8A">
        <w:rPr>
          <w:rFonts w:cstheme="minorHAnsi"/>
          <w:u w:val="single"/>
        </w:rPr>
        <w:t xml:space="preserve"> </w:t>
      </w:r>
      <w:r>
        <w:rPr>
          <w:rFonts w:cstheme="minorHAnsi"/>
        </w:rPr>
        <w:t xml:space="preserve">iznose </w:t>
      </w:r>
      <w:r w:rsidR="008E5F8A">
        <w:rPr>
          <w:rFonts w:cstheme="minorHAnsi"/>
        </w:rPr>
        <w:t>25.602.719</w:t>
      </w:r>
      <w:r>
        <w:rPr>
          <w:rFonts w:cstheme="minorHAnsi"/>
        </w:rPr>
        <w:t xml:space="preserve"> kn. Na ovoj skupini evidentirane su naknade štete uzrokovane prirodnim katastrofama </w:t>
      </w:r>
      <w:r w:rsidR="008E5F8A">
        <w:rPr>
          <w:rFonts w:cstheme="minorHAnsi"/>
        </w:rPr>
        <w:t>2.005.811</w:t>
      </w:r>
      <w:r>
        <w:rPr>
          <w:rFonts w:cstheme="minorHAnsi"/>
        </w:rPr>
        <w:t xml:space="preserve"> kn, </w:t>
      </w:r>
      <w:r w:rsidR="00B83E65">
        <w:rPr>
          <w:rFonts w:cstheme="minorHAnsi"/>
        </w:rPr>
        <w:t>o</w:t>
      </w:r>
      <w:r>
        <w:rPr>
          <w:rFonts w:cstheme="minorHAnsi"/>
        </w:rPr>
        <w:t xml:space="preserve">stale naknade šteta pravnim i fizičkim osobama </w:t>
      </w:r>
      <w:r w:rsidR="003A6156">
        <w:rPr>
          <w:rFonts w:cstheme="minorHAnsi"/>
        </w:rPr>
        <w:t>13.914.243</w:t>
      </w:r>
      <w:r w:rsidR="00B332B1">
        <w:rPr>
          <w:rFonts w:cstheme="minorHAnsi"/>
        </w:rPr>
        <w:t xml:space="preserve"> kn i  naknada za umanjenu kvalitetu življenja na području utjecaja otpada Prudinec – Jakuševec </w:t>
      </w:r>
      <w:r w:rsidR="003A6156">
        <w:rPr>
          <w:rFonts w:cstheme="minorHAnsi"/>
        </w:rPr>
        <w:t>9.682.665</w:t>
      </w:r>
      <w:r w:rsidR="00B332B1">
        <w:rPr>
          <w:rFonts w:cstheme="minorHAnsi"/>
        </w:rPr>
        <w:t xml:space="preserve"> kn.</w:t>
      </w:r>
    </w:p>
    <w:p w:rsidR="00B332B1" w:rsidRDefault="00B332B1" w:rsidP="001B5FD7">
      <w:pPr>
        <w:tabs>
          <w:tab w:val="center" w:pos="-2977"/>
          <w:tab w:val="left" w:pos="540"/>
        </w:tabs>
        <w:jc w:val="both"/>
        <w:rPr>
          <w:rFonts w:cstheme="minorHAnsi"/>
        </w:rPr>
      </w:pPr>
      <w:r w:rsidRPr="00C46CB4">
        <w:rPr>
          <w:rFonts w:cstheme="minorHAnsi"/>
          <w:u w:val="single"/>
        </w:rPr>
        <w:t xml:space="preserve">Kapitalne pomoći (AOP </w:t>
      </w:r>
      <w:r w:rsidR="00C46CB4" w:rsidRPr="00C46CB4">
        <w:rPr>
          <w:rFonts w:cstheme="minorHAnsi"/>
          <w:u w:val="single"/>
        </w:rPr>
        <w:t xml:space="preserve">272) </w:t>
      </w:r>
      <w:r w:rsidR="00A51FF2">
        <w:rPr>
          <w:rFonts w:cstheme="minorHAnsi"/>
          <w:u w:val="single"/>
        </w:rPr>
        <w:t>–</w:t>
      </w:r>
      <w:r w:rsidR="00C46CB4" w:rsidRPr="00C46CB4">
        <w:rPr>
          <w:rFonts w:cstheme="minorHAnsi"/>
          <w:u w:val="single"/>
        </w:rPr>
        <w:t xml:space="preserve"> </w:t>
      </w:r>
      <w:r w:rsidR="00A51FF2">
        <w:rPr>
          <w:rFonts w:cstheme="minorHAnsi"/>
        </w:rPr>
        <w:t xml:space="preserve">Iznose </w:t>
      </w:r>
      <w:r w:rsidR="006C6859">
        <w:rPr>
          <w:rFonts w:cstheme="minorHAnsi"/>
        </w:rPr>
        <w:t>245.299.003</w:t>
      </w:r>
      <w:r w:rsidR="000C26DD">
        <w:rPr>
          <w:rFonts w:cstheme="minorHAnsi"/>
        </w:rPr>
        <w:t xml:space="preserve"> kn što je </w:t>
      </w:r>
      <w:r w:rsidR="00076E84" w:rsidRPr="00076E84">
        <w:rPr>
          <w:rFonts w:cstheme="minorHAnsi"/>
        </w:rPr>
        <w:t>34</w:t>
      </w:r>
      <w:r w:rsidR="00A51FF2" w:rsidRPr="00076E84">
        <w:rPr>
          <w:rFonts w:cstheme="minorHAnsi"/>
        </w:rPr>
        <w:t>%</w:t>
      </w:r>
      <w:r w:rsidR="00A51FF2">
        <w:rPr>
          <w:rFonts w:cstheme="minorHAnsi"/>
        </w:rPr>
        <w:t xml:space="preserve"> </w:t>
      </w:r>
      <w:r w:rsidR="000C26DD">
        <w:rPr>
          <w:rFonts w:cstheme="minorHAnsi"/>
        </w:rPr>
        <w:t>više</w:t>
      </w:r>
      <w:r w:rsidR="00A51FF2">
        <w:rPr>
          <w:rFonts w:cstheme="minorHAnsi"/>
        </w:rPr>
        <w:t xml:space="preserve"> od prethodne godine. Pomoći su isplaćene:</w:t>
      </w:r>
      <w:r w:rsidR="00F36724">
        <w:rPr>
          <w:rFonts w:cstheme="minorHAnsi"/>
        </w:rPr>
        <w:t xml:space="preserve"> Zagrebačkim otpadnim vodama </w:t>
      </w:r>
      <w:r w:rsidR="000C26DD">
        <w:rPr>
          <w:rFonts w:cstheme="minorHAnsi"/>
        </w:rPr>
        <w:t>140.347.998</w:t>
      </w:r>
      <w:r w:rsidR="00F36724">
        <w:rPr>
          <w:rFonts w:cstheme="minorHAnsi"/>
        </w:rPr>
        <w:t xml:space="preserve"> kn, Zagrebačkom centru za gospodarenje otpadom </w:t>
      </w:r>
      <w:r w:rsidR="000C26DD">
        <w:rPr>
          <w:rFonts w:cstheme="minorHAnsi"/>
        </w:rPr>
        <w:t>87.812.288</w:t>
      </w:r>
      <w:r w:rsidR="00F36724">
        <w:rPr>
          <w:rFonts w:cstheme="minorHAnsi"/>
        </w:rPr>
        <w:t xml:space="preserve">, </w:t>
      </w:r>
      <w:r w:rsidR="00AB500A">
        <w:rPr>
          <w:rFonts w:cstheme="minorHAnsi"/>
        </w:rPr>
        <w:t>Zagrebačkom inovacijskom centru 799.244 kn</w:t>
      </w:r>
      <w:r w:rsidR="00C4321C">
        <w:rPr>
          <w:rFonts w:cstheme="minorHAnsi"/>
        </w:rPr>
        <w:t>,</w:t>
      </w:r>
      <w:r w:rsidR="00AB500A">
        <w:rPr>
          <w:rFonts w:cstheme="minorHAnsi"/>
        </w:rPr>
        <w:t xml:space="preserve"> </w:t>
      </w:r>
      <w:r w:rsidR="00F36724">
        <w:rPr>
          <w:rFonts w:cstheme="minorHAnsi"/>
        </w:rPr>
        <w:t>ZET</w:t>
      </w:r>
      <w:r w:rsidR="000C26DD">
        <w:rPr>
          <w:rFonts w:cstheme="minorHAnsi"/>
        </w:rPr>
        <w:t>-u</w:t>
      </w:r>
      <w:r w:rsidR="00F36724">
        <w:rPr>
          <w:rFonts w:cstheme="minorHAnsi"/>
        </w:rPr>
        <w:t xml:space="preserve"> za obnovu tramvajskog podsustava </w:t>
      </w:r>
      <w:r w:rsidR="00AB500A">
        <w:rPr>
          <w:rFonts w:cstheme="minorHAnsi"/>
        </w:rPr>
        <w:t>16.339.473</w:t>
      </w:r>
      <w:r w:rsidR="00F36724">
        <w:rPr>
          <w:rFonts w:cstheme="minorHAnsi"/>
        </w:rPr>
        <w:t xml:space="preserve"> kn</w:t>
      </w:r>
      <w:r w:rsidR="00AB500A">
        <w:rPr>
          <w:rFonts w:cstheme="minorHAnsi"/>
        </w:rPr>
        <w:t xml:space="preserve"> </w:t>
      </w:r>
    </w:p>
    <w:p w:rsidR="00DF1028" w:rsidRPr="00DE3354" w:rsidRDefault="00DF1028" w:rsidP="00EF7596">
      <w:pPr>
        <w:tabs>
          <w:tab w:val="center" w:pos="-2977"/>
          <w:tab w:val="left" w:pos="540"/>
        </w:tabs>
        <w:jc w:val="both"/>
        <w:rPr>
          <w:rFonts w:cs="Helvetica"/>
        </w:rPr>
      </w:pPr>
      <w:r w:rsidRPr="00DE3354">
        <w:rPr>
          <w:rFonts w:cstheme="minorHAnsi"/>
          <w:b/>
          <w:u w:val="single"/>
        </w:rPr>
        <w:t xml:space="preserve">PRIHODI OD </w:t>
      </w:r>
      <w:r w:rsidR="00796EF4" w:rsidRPr="00DE3354">
        <w:rPr>
          <w:rFonts w:cstheme="minorHAnsi"/>
          <w:b/>
          <w:u w:val="single"/>
        </w:rPr>
        <w:t xml:space="preserve">PRODAJE </w:t>
      </w:r>
      <w:r w:rsidRPr="00DE3354">
        <w:rPr>
          <w:rFonts w:cstheme="minorHAnsi"/>
          <w:b/>
          <w:u w:val="single"/>
        </w:rPr>
        <w:t>NEFINANCIJSKE IMOVINE (AOP 289)</w:t>
      </w:r>
      <w:r w:rsidR="00796EF4" w:rsidRPr="00DE3354">
        <w:rPr>
          <w:rFonts w:cstheme="minorHAnsi"/>
          <w:b/>
          <w:u w:val="single"/>
        </w:rPr>
        <w:t xml:space="preserve"> -</w:t>
      </w:r>
      <w:r w:rsidR="00181CFF" w:rsidRPr="00DE3354">
        <w:rPr>
          <w:rFonts w:cs="Helvetica-Bold"/>
          <w:b/>
          <w:bCs/>
        </w:rPr>
        <w:t xml:space="preserve"> </w:t>
      </w:r>
      <w:r w:rsidR="00181CFF" w:rsidRPr="00DE3354">
        <w:rPr>
          <w:rFonts w:cs="Helvetica"/>
        </w:rPr>
        <w:t xml:space="preserve">ostvareni su u iznosu </w:t>
      </w:r>
      <w:r w:rsidR="00DE3354" w:rsidRPr="00DE3354">
        <w:rPr>
          <w:rFonts w:cs="Helvetica"/>
        </w:rPr>
        <w:t>57.189.416</w:t>
      </w:r>
      <w:r w:rsidR="00796EF4" w:rsidRPr="00DE3354">
        <w:rPr>
          <w:rFonts w:cs="Helvetica"/>
        </w:rPr>
        <w:t xml:space="preserve"> </w:t>
      </w:r>
      <w:r w:rsidR="00181CFF" w:rsidRPr="00DE3354">
        <w:rPr>
          <w:rFonts w:cs="Helvetica"/>
        </w:rPr>
        <w:t xml:space="preserve">kn što </w:t>
      </w:r>
      <w:r w:rsidR="00796EF4" w:rsidRPr="00DE3354">
        <w:rPr>
          <w:rFonts w:cs="Helvetica"/>
        </w:rPr>
        <w:t xml:space="preserve">je </w:t>
      </w:r>
      <w:r w:rsidR="00DE3354" w:rsidRPr="00DE3354">
        <w:rPr>
          <w:rFonts w:cs="Helvetica"/>
        </w:rPr>
        <w:t>smanjenje</w:t>
      </w:r>
      <w:r w:rsidR="00796EF4" w:rsidRPr="00DE3354">
        <w:rPr>
          <w:rFonts w:cs="Helvetica"/>
        </w:rPr>
        <w:t xml:space="preserve"> od </w:t>
      </w:r>
      <w:r w:rsidR="00DE3354" w:rsidRPr="00DE3354">
        <w:rPr>
          <w:rFonts w:cs="Helvetica"/>
        </w:rPr>
        <w:t>62</w:t>
      </w:r>
      <w:r w:rsidR="00796EF4" w:rsidRPr="00DE3354">
        <w:rPr>
          <w:rFonts w:cs="Helvetica"/>
        </w:rPr>
        <w:t xml:space="preserve">% u </w:t>
      </w:r>
      <w:r w:rsidR="00181CFF" w:rsidRPr="00DE3354">
        <w:rPr>
          <w:rFonts w:cs="Helvetica"/>
        </w:rPr>
        <w:t>odnosu na prethodnu godinu</w:t>
      </w:r>
      <w:r w:rsidR="00796EF4" w:rsidRPr="00DE3354">
        <w:rPr>
          <w:rFonts w:cs="Helvetica"/>
        </w:rPr>
        <w:t xml:space="preserve">. </w:t>
      </w:r>
      <w:r w:rsidR="00181CFF" w:rsidRPr="00DE3354">
        <w:rPr>
          <w:rFonts w:cs="Helvetica"/>
        </w:rPr>
        <w:t xml:space="preserve">Ovi prihodi </w:t>
      </w:r>
      <w:r w:rsidR="00796EF4" w:rsidRPr="00DE3354">
        <w:rPr>
          <w:rFonts w:cs="Helvetica"/>
        </w:rPr>
        <w:t>su</w:t>
      </w:r>
      <w:r w:rsidR="00796EF4" w:rsidRPr="00DE3354">
        <w:rPr>
          <w:rFonts w:cstheme="minorHAnsi"/>
          <w:b/>
          <w:u w:val="single"/>
        </w:rPr>
        <w:t xml:space="preserve"> </w:t>
      </w:r>
      <w:r w:rsidR="00181CFF" w:rsidRPr="00DE3354">
        <w:rPr>
          <w:rFonts w:cs="Helvetica"/>
        </w:rPr>
        <w:t>ostvaren prodaj</w:t>
      </w:r>
      <w:r w:rsidR="00796EF4" w:rsidRPr="00DE3354">
        <w:rPr>
          <w:rFonts w:cs="Helvetica"/>
        </w:rPr>
        <w:t>om</w:t>
      </w:r>
      <w:r w:rsidR="00181CFF" w:rsidRPr="00DE3354">
        <w:rPr>
          <w:rFonts w:cs="Helvetica"/>
        </w:rPr>
        <w:t xml:space="preserve"> zemljišta, od </w:t>
      </w:r>
      <w:r w:rsidR="00796EF4" w:rsidRPr="00DE3354">
        <w:rPr>
          <w:rFonts w:cs="Helvetica"/>
        </w:rPr>
        <w:lastRenderedPageBreak/>
        <w:t>prodaje rudnih bogatstava, temeljem ugovora o</w:t>
      </w:r>
      <w:r w:rsidR="00181CFF" w:rsidRPr="00DE3354">
        <w:rPr>
          <w:rFonts w:cs="Helvetica"/>
        </w:rPr>
        <w:t xml:space="preserve"> prav</w:t>
      </w:r>
      <w:r w:rsidR="00796EF4" w:rsidRPr="00DE3354">
        <w:rPr>
          <w:rFonts w:cs="Helvetica"/>
        </w:rPr>
        <w:t>u</w:t>
      </w:r>
      <w:r w:rsidR="00181CFF" w:rsidRPr="00DE3354">
        <w:rPr>
          <w:rFonts w:cs="Helvetica"/>
        </w:rPr>
        <w:t xml:space="preserve"> gra</w:t>
      </w:r>
      <w:r w:rsidR="00796EF4" w:rsidRPr="00DE3354">
        <w:rPr>
          <w:rFonts w:cs="Helvetica"/>
        </w:rPr>
        <w:t>đenja te od prodaje stanova, poslovnih objekata te opreme za održavanje i zaštitu.</w:t>
      </w:r>
    </w:p>
    <w:p w:rsidR="00DE3354" w:rsidRPr="00DE3354" w:rsidRDefault="00DE3354" w:rsidP="00DE3354">
      <w:pPr>
        <w:jc w:val="both"/>
        <w:rPr>
          <w:rFonts w:cstheme="minorHAnsi"/>
          <w:b/>
        </w:rPr>
      </w:pPr>
      <w:r w:rsidRPr="00DE3354">
        <w:rPr>
          <w:rFonts w:cstheme="minorHAnsi"/>
          <w:b/>
        </w:rPr>
        <w:t>AOP 291</w:t>
      </w:r>
    </w:p>
    <w:p w:rsidR="00DE3354" w:rsidRPr="00DE3354" w:rsidRDefault="00DE3354" w:rsidP="00DE3354">
      <w:pPr>
        <w:jc w:val="both"/>
        <w:rPr>
          <w:rFonts w:cstheme="minorHAnsi"/>
          <w:i/>
        </w:rPr>
      </w:pPr>
      <w:r w:rsidRPr="00DE3354">
        <w:rPr>
          <w:rFonts w:cstheme="minorHAnsi"/>
          <w:i/>
        </w:rPr>
        <w:t>Prihodi od prodaje materijalne imovine- prirodnih bogatstava</w:t>
      </w:r>
    </w:p>
    <w:p w:rsidR="00DE3354" w:rsidRPr="00DE3354" w:rsidRDefault="00DE3354" w:rsidP="00DE3354">
      <w:pPr>
        <w:jc w:val="both"/>
        <w:rPr>
          <w:rFonts w:cstheme="minorHAnsi"/>
        </w:rPr>
      </w:pPr>
      <w:r w:rsidRPr="00DE3354">
        <w:rPr>
          <w:rFonts w:cstheme="minorHAnsi"/>
        </w:rPr>
        <w:t>Prihodi od prodaje neproizvedene dugotrajne imovine obuhvaćaju prihode od prodaje i zamjene zemljišta. U prethodnoj godini su prihodi bili veći zbog  ugovora o prodaji zemljišta za izgradnju stanova na lokaciji Podbrežje, koji je zaključen sa Zagrebačkim holdingom.  Sukladno Ugovoru, u 2017. doznačeno je 101.035.539,76 kuna.</w:t>
      </w:r>
    </w:p>
    <w:p w:rsidR="00DE3354" w:rsidRDefault="00DE3354" w:rsidP="00DE3354">
      <w:pPr>
        <w:jc w:val="both"/>
        <w:rPr>
          <w:rFonts w:cstheme="minorHAnsi"/>
          <w:b/>
        </w:rPr>
      </w:pPr>
    </w:p>
    <w:p w:rsidR="00DE3354" w:rsidRPr="00DE3354" w:rsidRDefault="00DE3354" w:rsidP="00DE3354">
      <w:pPr>
        <w:jc w:val="both"/>
        <w:rPr>
          <w:rFonts w:cstheme="minorHAnsi"/>
          <w:b/>
        </w:rPr>
      </w:pPr>
      <w:r w:rsidRPr="00DE3354">
        <w:rPr>
          <w:rFonts w:cstheme="minorHAnsi"/>
          <w:b/>
        </w:rPr>
        <w:t>AOP 299</w:t>
      </w:r>
    </w:p>
    <w:p w:rsidR="00DE3354" w:rsidRPr="00DE3354" w:rsidRDefault="00DE3354" w:rsidP="00DE3354">
      <w:pPr>
        <w:jc w:val="both"/>
        <w:rPr>
          <w:rFonts w:cstheme="minorHAnsi"/>
          <w:i/>
        </w:rPr>
      </w:pPr>
      <w:r w:rsidRPr="00DE3354">
        <w:rPr>
          <w:rFonts w:cstheme="minorHAnsi"/>
          <w:i/>
        </w:rPr>
        <w:t>Ostala prava</w:t>
      </w:r>
    </w:p>
    <w:p w:rsidR="00DE3354" w:rsidRPr="00DE3354" w:rsidRDefault="00DE3354" w:rsidP="00DE3354">
      <w:pPr>
        <w:spacing w:after="0" w:line="240" w:lineRule="auto"/>
        <w:rPr>
          <w:rFonts w:cstheme="minorHAnsi"/>
        </w:rPr>
      </w:pPr>
      <w:r w:rsidRPr="00DE3354">
        <w:rPr>
          <w:rFonts w:cstheme="minorHAnsi"/>
        </w:rPr>
        <w:t>Ostala prava odnose se najvećim dijelom  na prihode po ugovorima o pravu građenja, a veći su zbog poboljšanih mjera naplate i naplate nekih dugovanja iz prethodnog razdoblja.</w:t>
      </w:r>
    </w:p>
    <w:p w:rsidR="00DE3354" w:rsidRPr="00DE3354" w:rsidRDefault="00DE3354" w:rsidP="00DE3354">
      <w:pPr>
        <w:spacing w:after="0" w:line="240" w:lineRule="auto"/>
        <w:rPr>
          <w:rFonts w:cstheme="minorHAnsi"/>
        </w:rPr>
      </w:pPr>
    </w:p>
    <w:p w:rsidR="00DE3354" w:rsidRPr="00DE3354" w:rsidRDefault="00DE3354" w:rsidP="00DE3354">
      <w:pPr>
        <w:spacing w:after="0" w:line="240" w:lineRule="auto"/>
        <w:rPr>
          <w:rFonts w:eastAsia="Times New Roman" w:cstheme="minorHAnsi"/>
        </w:rPr>
      </w:pPr>
    </w:p>
    <w:p w:rsidR="00DE3354" w:rsidRPr="00DE3354" w:rsidRDefault="00DE3354" w:rsidP="00DE3354">
      <w:pPr>
        <w:jc w:val="both"/>
        <w:rPr>
          <w:rFonts w:cstheme="minorHAnsi"/>
          <w:b/>
        </w:rPr>
      </w:pPr>
      <w:r w:rsidRPr="00DE3354">
        <w:rPr>
          <w:rFonts w:cstheme="minorHAnsi"/>
          <w:b/>
        </w:rPr>
        <w:t>AOP 305</w:t>
      </w:r>
    </w:p>
    <w:p w:rsidR="00DE3354" w:rsidRPr="00DE3354" w:rsidRDefault="00DE3354" w:rsidP="00DE3354">
      <w:pPr>
        <w:jc w:val="both"/>
        <w:rPr>
          <w:rFonts w:cstheme="minorHAnsi"/>
          <w:i/>
        </w:rPr>
      </w:pPr>
      <w:r w:rsidRPr="00DE3354">
        <w:rPr>
          <w:rFonts w:cstheme="minorHAnsi"/>
          <w:i/>
        </w:rPr>
        <w:t>Poslovni objekti</w:t>
      </w:r>
    </w:p>
    <w:p w:rsidR="00DE3354" w:rsidRPr="00DE3354" w:rsidRDefault="00DE3354" w:rsidP="00DE3354">
      <w:pPr>
        <w:jc w:val="both"/>
        <w:rPr>
          <w:rFonts w:cstheme="minorHAnsi"/>
        </w:rPr>
      </w:pPr>
      <w:r w:rsidRPr="00DE3354">
        <w:rPr>
          <w:rFonts w:cstheme="minorHAnsi"/>
        </w:rPr>
        <w:t>Prihodi po ugovorima o prodaji poslovnih prostora uvećani su, uz ugovoreno u 2018. godini, zbog obročnih otplata po ugovorima iz prethodnog razdoblja kao i zbog prijevremene otplate kupoprodajne cijene većeg poslovnog prostora (umjesto obročne otplate, kupoprodajna cijena je isplaćena jednokratno).</w:t>
      </w:r>
    </w:p>
    <w:p w:rsidR="00DF1028" w:rsidRPr="00DF1028" w:rsidRDefault="00DF1028" w:rsidP="00EF7596">
      <w:pPr>
        <w:tabs>
          <w:tab w:val="center" w:pos="-2977"/>
          <w:tab w:val="left" w:pos="540"/>
        </w:tabs>
        <w:jc w:val="both"/>
        <w:rPr>
          <w:rFonts w:cstheme="minorHAnsi"/>
          <w:b/>
          <w:u w:val="single"/>
        </w:rPr>
      </w:pPr>
    </w:p>
    <w:p w:rsidR="00202886" w:rsidRDefault="00072238" w:rsidP="004019CF">
      <w:pPr>
        <w:autoSpaceDE w:val="0"/>
        <w:autoSpaceDN w:val="0"/>
        <w:adjustRightInd w:val="0"/>
        <w:spacing w:after="0" w:line="240" w:lineRule="auto"/>
        <w:jc w:val="both"/>
        <w:rPr>
          <w:rFonts w:cstheme="minorHAnsi"/>
        </w:rPr>
      </w:pPr>
      <w:r w:rsidRPr="00072238">
        <w:rPr>
          <w:rFonts w:cstheme="minorHAnsi"/>
          <w:b/>
          <w:u w:val="single"/>
        </w:rPr>
        <w:t>RASHODI ZA NABAVU NEFINANCIJSKE IMOVINE (AOP 341)</w:t>
      </w:r>
      <w:r>
        <w:rPr>
          <w:rFonts w:cstheme="minorHAnsi"/>
          <w:b/>
          <w:u w:val="single"/>
        </w:rPr>
        <w:t xml:space="preserve"> - </w:t>
      </w:r>
      <w:r w:rsidR="004608F2" w:rsidRPr="004608F2">
        <w:rPr>
          <w:rFonts w:cstheme="minorHAnsi"/>
        </w:rPr>
        <w:t xml:space="preserve">izvršeni su u iznosu </w:t>
      </w:r>
      <w:r w:rsidR="004019CF">
        <w:rPr>
          <w:rFonts w:cstheme="minorHAnsi"/>
        </w:rPr>
        <w:t>836.731.984</w:t>
      </w:r>
      <w:r w:rsidR="004608F2" w:rsidRPr="004608F2">
        <w:rPr>
          <w:rFonts w:cstheme="minorHAnsi"/>
        </w:rPr>
        <w:t xml:space="preserve"> kn i </w:t>
      </w:r>
      <w:r w:rsidR="004019CF">
        <w:rPr>
          <w:rFonts w:cstheme="minorHAnsi"/>
        </w:rPr>
        <w:t>što je povećanje od 59% u odnosu na 2017. godinu.</w:t>
      </w:r>
    </w:p>
    <w:p w:rsidR="004608F2" w:rsidRDefault="004608F2" w:rsidP="004608F2">
      <w:pPr>
        <w:tabs>
          <w:tab w:val="center" w:pos="-2977"/>
          <w:tab w:val="left" w:pos="540"/>
        </w:tabs>
        <w:jc w:val="both"/>
        <w:rPr>
          <w:rFonts w:cstheme="minorHAnsi"/>
        </w:rPr>
      </w:pPr>
      <w:r>
        <w:rPr>
          <w:rFonts w:cstheme="minorHAnsi"/>
        </w:rPr>
        <w:t>Tablica 4: Rashodi za nabavku nefinancijske imovine</w:t>
      </w:r>
    </w:p>
    <w:tbl>
      <w:tblPr>
        <w:tblStyle w:val="TableGrid"/>
        <w:tblW w:w="0" w:type="auto"/>
        <w:jc w:val="center"/>
        <w:tblLook w:val="04A0" w:firstRow="1" w:lastRow="0" w:firstColumn="1" w:lastColumn="0" w:noHBand="0" w:noVBand="1"/>
      </w:tblPr>
      <w:tblGrid>
        <w:gridCol w:w="651"/>
        <w:gridCol w:w="3030"/>
        <w:gridCol w:w="533"/>
        <w:gridCol w:w="1533"/>
        <w:gridCol w:w="1565"/>
        <w:gridCol w:w="700"/>
      </w:tblGrid>
      <w:tr w:rsidR="004608F2" w:rsidRPr="00515A54" w:rsidTr="009F3D0C">
        <w:trPr>
          <w:trHeight w:val="416"/>
          <w:jc w:val="center"/>
        </w:trPr>
        <w:tc>
          <w:tcPr>
            <w:tcW w:w="651" w:type="dxa"/>
            <w:shd w:val="clear" w:color="auto" w:fill="BDD6EE" w:themeFill="accent1" w:themeFillTint="66"/>
            <w:noWrap/>
            <w:vAlign w:val="center"/>
            <w:hideMark/>
          </w:tcPr>
          <w:p w:rsidR="004608F2" w:rsidRPr="00515A54" w:rsidRDefault="004608F2" w:rsidP="009F3D0C">
            <w:pPr>
              <w:autoSpaceDE w:val="0"/>
              <w:autoSpaceDN w:val="0"/>
              <w:adjustRightInd w:val="0"/>
              <w:jc w:val="center"/>
              <w:rPr>
                <w:rFonts w:cstheme="minorHAnsi"/>
                <w:sz w:val="16"/>
                <w:szCs w:val="16"/>
              </w:rPr>
            </w:pPr>
            <w:r w:rsidRPr="00515A54">
              <w:rPr>
                <w:rFonts w:cstheme="minorHAnsi"/>
                <w:sz w:val="16"/>
                <w:szCs w:val="16"/>
              </w:rPr>
              <w:t>Račun</w:t>
            </w:r>
          </w:p>
        </w:tc>
        <w:tc>
          <w:tcPr>
            <w:tcW w:w="3030" w:type="dxa"/>
            <w:shd w:val="clear" w:color="auto" w:fill="BDD6EE" w:themeFill="accent1" w:themeFillTint="66"/>
            <w:noWrap/>
            <w:vAlign w:val="center"/>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OPIS</w:t>
            </w:r>
          </w:p>
        </w:tc>
        <w:tc>
          <w:tcPr>
            <w:tcW w:w="533" w:type="dxa"/>
            <w:shd w:val="clear" w:color="auto" w:fill="BDD6EE" w:themeFill="accent1" w:themeFillTint="66"/>
            <w:noWrap/>
            <w:vAlign w:val="center"/>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AOP</w:t>
            </w:r>
          </w:p>
        </w:tc>
        <w:tc>
          <w:tcPr>
            <w:tcW w:w="1533" w:type="dxa"/>
            <w:shd w:val="clear" w:color="auto" w:fill="BDD6EE" w:themeFill="accent1" w:themeFillTint="66"/>
            <w:vAlign w:val="center"/>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Ostvareno prethodne godine</w:t>
            </w:r>
          </w:p>
        </w:tc>
        <w:tc>
          <w:tcPr>
            <w:tcW w:w="1565" w:type="dxa"/>
            <w:shd w:val="clear" w:color="auto" w:fill="BDD6EE" w:themeFill="accent1" w:themeFillTint="66"/>
            <w:vAlign w:val="center"/>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Ostvareno u tekućem razdoblju</w:t>
            </w:r>
          </w:p>
        </w:tc>
        <w:tc>
          <w:tcPr>
            <w:tcW w:w="700" w:type="dxa"/>
            <w:shd w:val="clear" w:color="auto" w:fill="BDD6EE" w:themeFill="accent1" w:themeFillTint="66"/>
            <w:noWrap/>
            <w:vAlign w:val="center"/>
            <w:hideMark/>
          </w:tcPr>
          <w:p w:rsidR="004608F2" w:rsidRPr="00515A54" w:rsidRDefault="004608F2" w:rsidP="009F3D0C">
            <w:pPr>
              <w:autoSpaceDE w:val="0"/>
              <w:autoSpaceDN w:val="0"/>
              <w:adjustRightInd w:val="0"/>
              <w:jc w:val="center"/>
              <w:rPr>
                <w:rFonts w:cstheme="minorHAnsi"/>
                <w:sz w:val="16"/>
                <w:szCs w:val="16"/>
              </w:rPr>
            </w:pPr>
            <w:r w:rsidRPr="00515A54">
              <w:rPr>
                <w:rFonts w:cstheme="minorHAnsi"/>
                <w:sz w:val="16"/>
                <w:szCs w:val="16"/>
              </w:rPr>
              <w:t>INDEKS</w:t>
            </w:r>
          </w:p>
        </w:tc>
      </w:tr>
      <w:tr w:rsidR="004608F2" w:rsidRPr="00515A54" w:rsidTr="009F3D0C">
        <w:trPr>
          <w:trHeight w:val="210"/>
          <w:jc w:val="center"/>
        </w:trPr>
        <w:tc>
          <w:tcPr>
            <w:tcW w:w="651" w:type="dxa"/>
            <w:shd w:val="clear" w:color="auto" w:fill="BDD6EE" w:themeFill="accent1" w:themeFillTint="66"/>
            <w:noWrap/>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1</w:t>
            </w:r>
          </w:p>
        </w:tc>
        <w:tc>
          <w:tcPr>
            <w:tcW w:w="3030" w:type="dxa"/>
            <w:shd w:val="clear" w:color="auto" w:fill="BDD6EE" w:themeFill="accent1" w:themeFillTint="66"/>
            <w:noWrap/>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2</w:t>
            </w:r>
          </w:p>
        </w:tc>
        <w:tc>
          <w:tcPr>
            <w:tcW w:w="533" w:type="dxa"/>
            <w:shd w:val="clear" w:color="auto" w:fill="BDD6EE" w:themeFill="accent1" w:themeFillTint="66"/>
            <w:noWrap/>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3</w:t>
            </w:r>
          </w:p>
        </w:tc>
        <w:tc>
          <w:tcPr>
            <w:tcW w:w="1533" w:type="dxa"/>
            <w:shd w:val="clear" w:color="auto" w:fill="BDD6EE" w:themeFill="accent1" w:themeFillTint="66"/>
            <w:noWrap/>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4</w:t>
            </w:r>
          </w:p>
        </w:tc>
        <w:tc>
          <w:tcPr>
            <w:tcW w:w="1565" w:type="dxa"/>
            <w:shd w:val="clear" w:color="auto" w:fill="BDD6EE" w:themeFill="accent1" w:themeFillTint="66"/>
            <w:noWrap/>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5</w:t>
            </w:r>
          </w:p>
        </w:tc>
        <w:tc>
          <w:tcPr>
            <w:tcW w:w="700" w:type="dxa"/>
            <w:shd w:val="clear" w:color="auto" w:fill="BDD6EE" w:themeFill="accent1" w:themeFillTint="66"/>
            <w:noWrap/>
            <w:hideMark/>
          </w:tcPr>
          <w:p w:rsidR="004608F2" w:rsidRPr="00515A54" w:rsidRDefault="004608F2" w:rsidP="009F3D0C">
            <w:pPr>
              <w:autoSpaceDE w:val="0"/>
              <w:autoSpaceDN w:val="0"/>
              <w:adjustRightInd w:val="0"/>
              <w:jc w:val="center"/>
              <w:rPr>
                <w:rFonts w:cstheme="minorHAnsi"/>
                <w:sz w:val="18"/>
                <w:szCs w:val="18"/>
              </w:rPr>
            </w:pPr>
            <w:r w:rsidRPr="00515A54">
              <w:rPr>
                <w:rFonts w:cstheme="minorHAnsi"/>
                <w:sz w:val="18"/>
                <w:szCs w:val="18"/>
              </w:rPr>
              <w:t>6</w:t>
            </w:r>
          </w:p>
        </w:tc>
      </w:tr>
      <w:tr w:rsidR="004608F2" w:rsidRPr="00515A54" w:rsidTr="009A2B8A">
        <w:trPr>
          <w:trHeight w:val="555"/>
          <w:jc w:val="center"/>
        </w:trPr>
        <w:tc>
          <w:tcPr>
            <w:tcW w:w="651" w:type="dxa"/>
            <w:noWrap/>
            <w:vAlign w:val="center"/>
            <w:hideMark/>
          </w:tcPr>
          <w:p w:rsidR="004608F2" w:rsidRPr="00515A54" w:rsidRDefault="004608F2" w:rsidP="004608F2">
            <w:pPr>
              <w:autoSpaceDE w:val="0"/>
              <w:autoSpaceDN w:val="0"/>
              <w:adjustRightInd w:val="0"/>
              <w:jc w:val="both"/>
              <w:rPr>
                <w:rFonts w:cstheme="minorHAnsi"/>
                <w:sz w:val="18"/>
                <w:szCs w:val="18"/>
              </w:rPr>
            </w:pPr>
            <w:r>
              <w:rPr>
                <w:rFonts w:cstheme="minorHAnsi"/>
                <w:sz w:val="18"/>
                <w:szCs w:val="18"/>
              </w:rPr>
              <w:t>4</w:t>
            </w:r>
          </w:p>
        </w:tc>
        <w:tc>
          <w:tcPr>
            <w:tcW w:w="3030"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RASHODI ZA NABAVU NEFINANCIJSKE IMOVINE</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341</w:t>
            </w:r>
          </w:p>
        </w:tc>
        <w:tc>
          <w:tcPr>
            <w:tcW w:w="1533" w:type="dxa"/>
            <w:noWrap/>
            <w:vAlign w:val="center"/>
          </w:tcPr>
          <w:p w:rsidR="004608F2" w:rsidRPr="00515A54" w:rsidRDefault="004019CF" w:rsidP="00860748">
            <w:pPr>
              <w:autoSpaceDE w:val="0"/>
              <w:autoSpaceDN w:val="0"/>
              <w:adjustRightInd w:val="0"/>
              <w:jc w:val="center"/>
              <w:rPr>
                <w:rFonts w:cstheme="minorHAnsi"/>
                <w:sz w:val="18"/>
                <w:szCs w:val="18"/>
              </w:rPr>
            </w:pPr>
            <w:r>
              <w:rPr>
                <w:rFonts w:cstheme="minorHAnsi"/>
                <w:sz w:val="18"/>
                <w:szCs w:val="18"/>
              </w:rPr>
              <w:t>526.430.581</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836.731.984</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159</w:t>
            </w:r>
          </w:p>
        </w:tc>
      </w:tr>
      <w:tr w:rsidR="004608F2" w:rsidRPr="00515A54" w:rsidTr="009A2B8A">
        <w:trPr>
          <w:trHeight w:val="555"/>
          <w:jc w:val="center"/>
        </w:trPr>
        <w:tc>
          <w:tcPr>
            <w:tcW w:w="651"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w:t>
            </w:r>
            <w:r w:rsidR="004608F2">
              <w:rPr>
                <w:rFonts w:cstheme="minorHAnsi"/>
                <w:sz w:val="18"/>
                <w:szCs w:val="18"/>
              </w:rPr>
              <w:t>1</w:t>
            </w:r>
          </w:p>
        </w:tc>
        <w:tc>
          <w:tcPr>
            <w:tcW w:w="3030" w:type="dxa"/>
            <w:vAlign w:val="center"/>
            <w:hideMark/>
          </w:tcPr>
          <w:p w:rsidR="004608F2" w:rsidRPr="00515A54" w:rsidRDefault="004608F2" w:rsidP="00CA3472">
            <w:pPr>
              <w:autoSpaceDE w:val="0"/>
              <w:autoSpaceDN w:val="0"/>
              <w:adjustRightInd w:val="0"/>
              <w:jc w:val="both"/>
              <w:rPr>
                <w:rFonts w:cstheme="minorHAnsi"/>
                <w:sz w:val="18"/>
                <w:szCs w:val="18"/>
              </w:rPr>
            </w:pPr>
            <w:r>
              <w:rPr>
                <w:rFonts w:cstheme="minorHAnsi"/>
                <w:sz w:val="18"/>
                <w:szCs w:val="18"/>
              </w:rPr>
              <w:t xml:space="preserve">RASHODI ZA </w:t>
            </w:r>
            <w:r w:rsidR="00CA3472">
              <w:rPr>
                <w:rFonts w:cstheme="minorHAnsi"/>
                <w:sz w:val="18"/>
                <w:szCs w:val="18"/>
              </w:rPr>
              <w:t>NABAVU NEPROIZVEDENE DUGOTRAJNE IMOVINE</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342</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28.620.211</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28.639.365</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100</w:t>
            </w:r>
          </w:p>
        </w:tc>
      </w:tr>
      <w:tr w:rsidR="004608F2" w:rsidRPr="00515A54" w:rsidTr="009A2B8A">
        <w:trPr>
          <w:trHeight w:val="555"/>
          <w:jc w:val="center"/>
        </w:trPr>
        <w:tc>
          <w:tcPr>
            <w:tcW w:w="651"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411</w:t>
            </w:r>
          </w:p>
        </w:tc>
        <w:tc>
          <w:tcPr>
            <w:tcW w:w="3030" w:type="dxa"/>
            <w:vAlign w:val="center"/>
            <w:hideMark/>
          </w:tcPr>
          <w:p w:rsidR="004608F2" w:rsidRPr="00515A54" w:rsidRDefault="000A4351" w:rsidP="00CA3472">
            <w:pPr>
              <w:autoSpaceDE w:val="0"/>
              <w:autoSpaceDN w:val="0"/>
              <w:adjustRightInd w:val="0"/>
              <w:jc w:val="both"/>
              <w:rPr>
                <w:rFonts w:cstheme="minorHAnsi"/>
                <w:sz w:val="18"/>
                <w:szCs w:val="18"/>
              </w:rPr>
            </w:pPr>
            <w:r>
              <w:rPr>
                <w:rFonts w:cstheme="minorHAnsi"/>
                <w:sz w:val="18"/>
                <w:szCs w:val="18"/>
              </w:rPr>
              <w:t>Materijalna imovina – prirodna bogatstva</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343</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24.383.224</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19.318.511</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79</w:t>
            </w:r>
          </w:p>
        </w:tc>
      </w:tr>
      <w:tr w:rsidR="004608F2" w:rsidRPr="00515A54" w:rsidTr="009A2B8A">
        <w:trPr>
          <w:trHeight w:val="540"/>
          <w:jc w:val="center"/>
        </w:trPr>
        <w:tc>
          <w:tcPr>
            <w:tcW w:w="651" w:type="dxa"/>
            <w:shd w:val="clear" w:color="auto" w:fill="auto"/>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412</w:t>
            </w:r>
          </w:p>
        </w:tc>
        <w:tc>
          <w:tcPr>
            <w:tcW w:w="3030" w:type="dxa"/>
            <w:shd w:val="clear" w:color="auto" w:fill="auto"/>
            <w:noWrap/>
            <w:vAlign w:val="center"/>
            <w:hideMark/>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Nematerijalna imovina</w:t>
            </w:r>
          </w:p>
        </w:tc>
        <w:tc>
          <w:tcPr>
            <w:tcW w:w="533" w:type="dxa"/>
            <w:shd w:val="clear" w:color="auto" w:fill="auto"/>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347</w:t>
            </w:r>
          </w:p>
        </w:tc>
        <w:tc>
          <w:tcPr>
            <w:tcW w:w="1533" w:type="dxa"/>
            <w:shd w:val="clear" w:color="auto" w:fill="auto"/>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4.236.987</w:t>
            </w:r>
          </w:p>
        </w:tc>
        <w:tc>
          <w:tcPr>
            <w:tcW w:w="1565" w:type="dxa"/>
            <w:shd w:val="clear" w:color="auto" w:fill="auto"/>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9.320.854</w:t>
            </w:r>
          </w:p>
        </w:tc>
        <w:tc>
          <w:tcPr>
            <w:tcW w:w="700" w:type="dxa"/>
            <w:shd w:val="clear" w:color="auto" w:fill="auto"/>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220</w:t>
            </w:r>
          </w:p>
        </w:tc>
      </w:tr>
      <w:tr w:rsidR="004608F2" w:rsidRPr="00515A54" w:rsidTr="009A2B8A">
        <w:trPr>
          <w:trHeight w:val="555"/>
          <w:jc w:val="center"/>
        </w:trPr>
        <w:tc>
          <w:tcPr>
            <w:tcW w:w="651" w:type="dxa"/>
            <w:noWrap/>
            <w:vAlign w:val="center"/>
            <w:hideMark/>
          </w:tcPr>
          <w:p w:rsidR="004608F2" w:rsidRPr="00515A54" w:rsidRDefault="00CA3472" w:rsidP="00CA3472">
            <w:pPr>
              <w:autoSpaceDE w:val="0"/>
              <w:autoSpaceDN w:val="0"/>
              <w:adjustRightInd w:val="0"/>
              <w:jc w:val="both"/>
              <w:rPr>
                <w:rFonts w:cstheme="minorHAnsi"/>
                <w:sz w:val="18"/>
                <w:szCs w:val="18"/>
              </w:rPr>
            </w:pPr>
            <w:r>
              <w:rPr>
                <w:rFonts w:cstheme="minorHAnsi"/>
                <w:sz w:val="18"/>
                <w:szCs w:val="18"/>
              </w:rPr>
              <w:t>42</w:t>
            </w:r>
          </w:p>
        </w:tc>
        <w:tc>
          <w:tcPr>
            <w:tcW w:w="3030"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RASHODI ZA NABAVU PROIZVEDENE DUGOTRAJNE IMOVINE</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354</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432.476.609</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686.549.654</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159</w:t>
            </w:r>
          </w:p>
        </w:tc>
      </w:tr>
      <w:tr w:rsidR="004608F2" w:rsidRPr="00515A54" w:rsidTr="009A2B8A">
        <w:trPr>
          <w:trHeight w:val="555"/>
          <w:jc w:val="center"/>
        </w:trPr>
        <w:tc>
          <w:tcPr>
            <w:tcW w:w="651"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421</w:t>
            </w:r>
          </w:p>
        </w:tc>
        <w:tc>
          <w:tcPr>
            <w:tcW w:w="3030" w:type="dxa"/>
            <w:vAlign w:val="center"/>
            <w:hideMark/>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Građevinski objekti</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355</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402.102.467</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647.081.322</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161</w:t>
            </w:r>
          </w:p>
        </w:tc>
      </w:tr>
      <w:tr w:rsidR="004608F2" w:rsidRPr="00515A54" w:rsidTr="009A2B8A">
        <w:trPr>
          <w:trHeight w:val="555"/>
          <w:jc w:val="center"/>
        </w:trPr>
        <w:tc>
          <w:tcPr>
            <w:tcW w:w="651"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422</w:t>
            </w:r>
          </w:p>
        </w:tc>
        <w:tc>
          <w:tcPr>
            <w:tcW w:w="3030" w:type="dxa"/>
            <w:vAlign w:val="center"/>
            <w:hideMark/>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Postrojenja i oprema</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360</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25.169.504</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35.431.560</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141</w:t>
            </w:r>
          </w:p>
        </w:tc>
      </w:tr>
      <w:tr w:rsidR="004608F2" w:rsidRPr="00515A54" w:rsidTr="009A2B8A">
        <w:trPr>
          <w:trHeight w:val="570"/>
          <w:jc w:val="center"/>
        </w:trPr>
        <w:tc>
          <w:tcPr>
            <w:tcW w:w="651" w:type="dxa"/>
            <w:shd w:val="clear" w:color="auto" w:fill="auto"/>
            <w:noWrap/>
            <w:vAlign w:val="center"/>
            <w:hideMark/>
          </w:tcPr>
          <w:p w:rsidR="004608F2" w:rsidRPr="00515A54" w:rsidRDefault="00CA3472" w:rsidP="00CA3472">
            <w:pPr>
              <w:autoSpaceDE w:val="0"/>
              <w:autoSpaceDN w:val="0"/>
              <w:adjustRightInd w:val="0"/>
              <w:jc w:val="both"/>
              <w:rPr>
                <w:rFonts w:cstheme="minorHAnsi"/>
                <w:sz w:val="18"/>
                <w:szCs w:val="18"/>
              </w:rPr>
            </w:pPr>
            <w:r>
              <w:rPr>
                <w:rFonts w:cstheme="minorHAnsi"/>
                <w:sz w:val="18"/>
                <w:szCs w:val="18"/>
              </w:rPr>
              <w:lastRenderedPageBreak/>
              <w:t>423</w:t>
            </w:r>
          </w:p>
        </w:tc>
        <w:tc>
          <w:tcPr>
            <w:tcW w:w="3030" w:type="dxa"/>
            <w:shd w:val="clear" w:color="auto" w:fill="auto"/>
            <w:noWrap/>
            <w:vAlign w:val="center"/>
            <w:hideMark/>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Prijevozna sredstva</w:t>
            </w:r>
          </w:p>
        </w:tc>
        <w:tc>
          <w:tcPr>
            <w:tcW w:w="533" w:type="dxa"/>
            <w:shd w:val="clear" w:color="auto" w:fill="auto"/>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369</w:t>
            </w:r>
          </w:p>
        </w:tc>
        <w:tc>
          <w:tcPr>
            <w:tcW w:w="1533" w:type="dxa"/>
            <w:shd w:val="clear" w:color="auto" w:fill="auto"/>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56.162</w:t>
            </w:r>
          </w:p>
        </w:tc>
        <w:tc>
          <w:tcPr>
            <w:tcW w:w="1565" w:type="dxa"/>
            <w:shd w:val="clear" w:color="auto" w:fill="auto"/>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107.161</w:t>
            </w:r>
          </w:p>
        </w:tc>
        <w:tc>
          <w:tcPr>
            <w:tcW w:w="700" w:type="dxa"/>
            <w:shd w:val="clear" w:color="auto" w:fill="auto"/>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191</w:t>
            </w:r>
          </w:p>
        </w:tc>
      </w:tr>
      <w:tr w:rsidR="004608F2" w:rsidRPr="00515A54" w:rsidTr="004019CF">
        <w:trPr>
          <w:trHeight w:val="555"/>
          <w:jc w:val="center"/>
        </w:trPr>
        <w:tc>
          <w:tcPr>
            <w:tcW w:w="651"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424</w:t>
            </w:r>
          </w:p>
        </w:tc>
        <w:tc>
          <w:tcPr>
            <w:tcW w:w="3030" w:type="dxa"/>
            <w:noWrap/>
            <w:vAlign w:val="center"/>
            <w:hideMark/>
          </w:tcPr>
          <w:p w:rsidR="004608F2" w:rsidRPr="00515A54" w:rsidRDefault="003B1587" w:rsidP="004608F2">
            <w:pPr>
              <w:autoSpaceDE w:val="0"/>
              <w:autoSpaceDN w:val="0"/>
              <w:adjustRightInd w:val="0"/>
              <w:jc w:val="both"/>
              <w:rPr>
                <w:rFonts w:cstheme="minorHAnsi"/>
                <w:sz w:val="18"/>
                <w:szCs w:val="18"/>
              </w:rPr>
            </w:pPr>
            <w:r>
              <w:rPr>
                <w:rFonts w:cstheme="minorHAnsi"/>
                <w:sz w:val="18"/>
                <w:szCs w:val="18"/>
              </w:rPr>
              <w:t xml:space="preserve">Knjige, umjetnička </w:t>
            </w:r>
            <w:r w:rsidR="000A4351">
              <w:rPr>
                <w:rFonts w:cstheme="minorHAnsi"/>
                <w:sz w:val="18"/>
                <w:szCs w:val="18"/>
              </w:rPr>
              <w:t>djela i ostale izložbene vrijednosti</w:t>
            </w:r>
          </w:p>
        </w:tc>
        <w:tc>
          <w:tcPr>
            <w:tcW w:w="533" w:type="dxa"/>
            <w:noWrap/>
            <w:vAlign w:val="center"/>
          </w:tcPr>
          <w:p w:rsidR="004608F2" w:rsidRPr="00515A54" w:rsidRDefault="000A4351" w:rsidP="004608F2">
            <w:pPr>
              <w:autoSpaceDE w:val="0"/>
              <w:autoSpaceDN w:val="0"/>
              <w:adjustRightInd w:val="0"/>
              <w:jc w:val="both"/>
              <w:rPr>
                <w:rFonts w:cstheme="minorHAnsi"/>
                <w:sz w:val="18"/>
                <w:szCs w:val="18"/>
              </w:rPr>
            </w:pPr>
            <w:r>
              <w:rPr>
                <w:rFonts w:cstheme="minorHAnsi"/>
                <w:sz w:val="18"/>
                <w:szCs w:val="18"/>
              </w:rPr>
              <w:t>374</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50.684</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64.365</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127</w:t>
            </w:r>
          </w:p>
        </w:tc>
      </w:tr>
      <w:tr w:rsidR="004608F2" w:rsidRPr="00515A54" w:rsidTr="004019CF">
        <w:trPr>
          <w:trHeight w:val="625"/>
          <w:jc w:val="center"/>
        </w:trPr>
        <w:tc>
          <w:tcPr>
            <w:tcW w:w="651" w:type="dxa"/>
            <w:noWrap/>
            <w:vAlign w:val="center"/>
            <w:hideMark/>
          </w:tcPr>
          <w:p w:rsidR="004608F2" w:rsidRPr="00515A54" w:rsidRDefault="00CA3472" w:rsidP="004608F2">
            <w:pPr>
              <w:autoSpaceDE w:val="0"/>
              <w:autoSpaceDN w:val="0"/>
              <w:adjustRightInd w:val="0"/>
              <w:jc w:val="both"/>
              <w:rPr>
                <w:rFonts w:cstheme="minorHAnsi"/>
                <w:sz w:val="18"/>
                <w:szCs w:val="18"/>
              </w:rPr>
            </w:pPr>
            <w:r>
              <w:rPr>
                <w:rFonts w:cstheme="minorHAnsi"/>
                <w:sz w:val="18"/>
                <w:szCs w:val="18"/>
              </w:rPr>
              <w:t>426</w:t>
            </w:r>
          </w:p>
        </w:tc>
        <w:tc>
          <w:tcPr>
            <w:tcW w:w="3030" w:type="dxa"/>
            <w:vAlign w:val="center"/>
            <w:hideMark/>
          </w:tcPr>
          <w:p w:rsidR="004608F2" w:rsidRPr="00515A54" w:rsidRDefault="00CA3472" w:rsidP="00CA3472">
            <w:pPr>
              <w:autoSpaceDE w:val="0"/>
              <w:autoSpaceDN w:val="0"/>
              <w:adjustRightInd w:val="0"/>
              <w:jc w:val="both"/>
              <w:rPr>
                <w:rFonts w:cstheme="minorHAnsi"/>
                <w:sz w:val="18"/>
                <w:szCs w:val="18"/>
              </w:rPr>
            </w:pPr>
            <w:r>
              <w:rPr>
                <w:rFonts w:cstheme="minorHAnsi"/>
                <w:sz w:val="18"/>
                <w:szCs w:val="18"/>
              </w:rPr>
              <w:t xml:space="preserve">Nematerijalna </w:t>
            </w:r>
            <w:r w:rsidR="003B1587">
              <w:rPr>
                <w:rFonts w:cstheme="minorHAnsi"/>
                <w:sz w:val="18"/>
                <w:szCs w:val="18"/>
              </w:rPr>
              <w:t>proizvedena imovina</w:t>
            </w:r>
          </w:p>
        </w:tc>
        <w:tc>
          <w:tcPr>
            <w:tcW w:w="533" w:type="dxa"/>
            <w:noWrap/>
            <w:vAlign w:val="center"/>
          </w:tcPr>
          <w:p w:rsidR="004608F2" w:rsidRPr="00515A54" w:rsidRDefault="004608F2" w:rsidP="000A4351">
            <w:pPr>
              <w:autoSpaceDE w:val="0"/>
              <w:autoSpaceDN w:val="0"/>
              <w:adjustRightInd w:val="0"/>
              <w:jc w:val="both"/>
              <w:rPr>
                <w:rFonts w:cstheme="minorHAnsi"/>
                <w:sz w:val="18"/>
                <w:szCs w:val="18"/>
              </w:rPr>
            </w:pPr>
            <w:r>
              <w:rPr>
                <w:rFonts w:cstheme="minorHAnsi"/>
                <w:sz w:val="18"/>
                <w:szCs w:val="18"/>
              </w:rPr>
              <w:t xml:space="preserve">    </w:t>
            </w:r>
            <w:r w:rsidR="000A4351">
              <w:rPr>
                <w:rFonts w:cstheme="minorHAnsi"/>
                <w:sz w:val="18"/>
                <w:szCs w:val="18"/>
              </w:rPr>
              <w:t>382</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5.097.792</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3.865.246</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76</w:t>
            </w:r>
          </w:p>
        </w:tc>
      </w:tr>
      <w:tr w:rsidR="004608F2" w:rsidRPr="00515A54" w:rsidTr="00CA3472">
        <w:trPr>
          <w:trHeight w:val="450"/>
          <w:jc w:val="center"/>
        </w:trPr>
        <w:tc>
          <w:tcPr>
            <w:tcW w:w="651" w:type="dxa"/>
            <w:noWrap/>
            <w:vAlign w:val="center"/>
          </w:tcPr>
          <w:p w:rsidR="004608F2" w:rsidRDefault="00CA3472" w:rsidP="004608F2">
            <w:pPr>
              <w:autoSpaceDE w:val="0"/>
              <w:autoSpaceDN w:val="0"/>
              <w:adjustRightInd w:val="0"/>
              <w:jc w:val="both"/>
              <w:rPr>
                <w:rFonts w:cstheme="minorHAnsi"/>
                <w:sz w:val="18"/>
                <w:szCs w:val="18"/>
              </w:rPr>
            </w:pPr>
            <w:r>
              <w:rPr>
                <w:rFonts w:cstheme="minorHAnsi"/>
                <w:sz w:val="18"/>
                <w:szCs w:val="18"/>
              </w:rPr>
              <w:t>45</w:t>
            </w:r>
          </w:p>
        </w:tc>
        <w:tc>
          <w:tcPr>
            <w:tcW w:w="3030" w:type="dxa"/>
            <w:vAlign w:val="center"/>
          </w:tcPr>
          <w:p w:rsidR="004608F2" w:rsidRDefault="008C3BB4" w:rsidP="004608F2">
            <w:pPr>
              <w:autoSpaceDE w:val="0"/>
              <w:autoSpaceDN w:val="0"/>
              <w:adjustRightInd w:val="0"/>
              <w:jc w:val="both"/>
              <w:rPr>
                <w:rFonts w:cstheme="minorHAnsi"/>
                <w:sz w:val="18"/>
                <w:szCs w:val="18"/>
              </w:rPr>
            </w:pPr>
            <w:r>
              <w:rPr>
                <w:rFonts w:cstheme="minorHAnsi"/>
                <w:sz w:val="18"/>
                <w:szCs w:val="18"/>
              </w:rPr>
              <w:t>RASHODI ZA DODATNA ULAGANJA NA NEFINANCIJSKOJ IMOVINI</w:t>
            </w:r>
          </w:p>
        </w:tc>
        <w:tc>
          <w:tcPr>
            <w:tcW w:w="533" w:type="dxa"/>
            <w:noWrap/>
            <w:vAlign w:val="center"/>
          </w:tcPr>
          <w:p w:rsidR="004608F2" w:rsidRDefault="004608F2" w:rsidP="004608F2">
            <w:pPr>
              <w:autoSpaceDE w:val="0"/>
              <w:autoSpaceDN w:val="0"/>
              <w:adjustRightInd w:val="0"/>
              <w:jc w:val="both"/>
              <w:rPr>
                <w:rFonts w:cstheme="minorHAnsi"/>
                <w:sz w:val="18"/>
                <w:szCs w:val="18"/>
              </w:rPr>
            </w:pPr>
          </w:p>
          <w:p w:rsidR="004608F2" w:rsidRDefault="000A4351" w:rsidP="004608F2">
            <w:pPr>
              <w:autoSpaceDE w:val="0"/>
              <w:autoSpaceDN w:val="0"/>
              <w:adjustRightInd w:val="0"/>
              <w:jc w:val="both"/>
              <w:rPr>
                <w:rFonts w:cstheme="minorHAnsi"/>
                <w:sz w:val="18"/>
                <w:szCs w:val="18"/>
              </w:rPr>
            </w:pPr>
            <w:r>
              <w:rPr>
                <w:rFonts w:cstheme="minorHAnsi"/>
                <w:sz w:val="18"/>
                <w:szCs w:val="18"/>
              </w:rPr>
              <w:t>393</w:t>
            </w:r>
          </w:p>
          <w:p w:rsidR="004608F2" w:rsidRDefault="004608F2" w:rsidP="004608F2">
            <w:pPr>
              <w:autoSpaceDE w:val="0"/>
              <w:autoSpaceDN w:val="0"/>
              <w:adjustRightInd w:val="0"/>
              <w:jc w:val="both"/>
              <w:rPr>
                <w:rFonts w:cstheme="minorHAnsi"/>
                <w:sz w:val="18"/>
                <w:szCs w:val="18"/>
              </w:rPr>
            </w:pP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65.333.761</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121.542.965</w:t>
            </w:r>
          </w:p>
        </w:tc>
        <w:tc>
          <w:tcPr>
            <w:tcW w:w="700"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186</w:t>
            </w:r>
          </w:p>
        </w:tc>
      </w:tr>
      <w:tr w:rsidR="004608F2" w:rsidTr="00CA3472">
        <w:trPr>
          <w:trHeight w:val="435"/>
          <w:jc w:val="center"/>
        </w:trPr>
        <w:tc>
          <w:tcPr>
            <w:tcW w:w="651" w:type="dxa"/>
            <w:noWrap/>
            <w:vAlign w:val="center"/>
          </w:tcPr>
          <w:p w:rsidR="004608F2" w:rsidRDefault="00CA3472" w:rsidP="004608F2">
            <w:pPr>
              <w:autoSpaceDE w:val="0"/>
              <w:autoSpaceDN w:val="0"/>
              <w:adjustRightInd w:val="0"/>
              <w:jc w:val="both"/>
              <w:rPr>
                <w:rFonts w:cstheme="minorHAnsi"/>
                <w:sz w:val="18"/>
                <w:szCs w:val="18"/>
              </w:rPr>
            </w:pPr>
            <w:r>
              <w:rPr>
                <w:rFonts w:cstheme="minorHAnsi"/>
                <w:sz w:val="18"/>
                <w:szCs w:val="18"/>
              </w:rPr>
              <w:t>451</w:t>
            </w:r>
          </w:p>
        </w:tc>
        <w:tc>
          <w:tcPr>
            <w:tcW w:w="3030" w:type="dxa"/>
            <w:vAlign w:val="center"/>
          </w:tcPr>
          <w:p w:rsidR="004608F2" w:rsidRDefault="008C3BB4" w:rsidP="004608F2">
            <w:pPr>
              <w:autoSpaceDE w:val="0"/>
              <w:autoSpaceDN w:val="0"/>
              <w:adjustRightInd w:val="0"/>
              <w:jc w:val="both"/>
              <w:rPr>
                <w:rFonts w:cstheme="minorHAnsi"/>
                <w:sz w:val="18"/>
                <w:szCs w:val="18"/>
              </w:rPr>
            </w:pPr>
            <w:r>
              <w:rPr>
                <w:rFonts w:cstheme="minorHAnsi"/>
                <w:sz w:val="18"/>
                <w:szCs w:val="18"/>
              </w:rPr>
              <w:t>Dodatna ulaganja na građevinskim objektima</w:t>
            </w:r>
          </w:p>
        </w:tc>
        <w:tc>
          <w:tcPr>
            <w:tcW w:w="533" w:type="dxa"/>
            <w:noWrap/>
            <w:vAlign w:val="center"/>
          </w:tcPr>
          <w:p w:rsidR="004608F2" w:rsidRDefault="000A4351" w:rsidP="004608F2">
            <w:pPr>
              <w:autoSpaceDE w:val="0"/>
              <w:autoSpaceDN w:val="0"/>
              <w:adjustRightInd w:val="0"/>
              <w:jc w:val="both"/>
              <w:rPr>
                <w:rFonts w:cstheme="minorHAnsi"/>
                <w:sz w:val="18"/>
                <w:szCs w:val="18"/>
              </w:rPr>
            </w:pPr>
            <w:r>
              <w:rPr>
                <w:rFonts w:cstheme="minorHAnsi"/>
                <w:sz w:val="18"/>
                <w:szCs w:val="18"/>
              </w:rPr>
              <w:t>394</w:t>
            </w:r>
          </w:p>
        </w:tc>
        <w:tc>
          <w:tcPr>
            <w:tcW w:w="1533"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65.333.761</w:t>
            </w:r>
          </w:p>
        </w:tc>
        <w:tc>
          <w:tcPr>
            <w:tcW w:w="1565" w:type="dxa"/>
            <w:noWrap/>
            <w:vAlign w:val="center"/>
          </w:tcPr>
          <w:p w:rsidR="004608F2" w:rsidRPr="00515A54" w:rsidRDefault="008C3BB4" w:rsidP="00860748">
            <w:pPr>
              <w:autoSpaceDE w:val="0"/>
              <w:autoSpaceDN w:val="0"/>
              <w:adjustRightInd w:val="0"/>
              <w:jc w:val="center"/>
              <w:rPr>
                <w:rFonts w:cstheme="minorHAnsi"/>
                <w:sz w:val="18"/>
                <w:szCs w:val="18"/>
              </w:rPr>
            </w:pPr>
            <w:r>
              <w:rPr>
                <w:rFonts w:cstheme="minorHAnsi"/>
                <w:sz w:val="18"/>
                <w:szCs w:val="18"/>
              </w:rPr>
              <w:t>121.542.965</w:t>
            </w:r>
          </w:p>
        </w:tc>
        <w:tc>
          <w:tcPr>
            <w:tcW w:w="700" w:type="dxa"/>
            <w:noWrap/>
            <w:vAlign w:val="center"/>
          </w:tcPr>
          <w:p w:rsidR="004608F2" w:rsidRDefault="008C3BB4" w:rsidP="00860748">
            <w:pPr>
              <w:autoSpaceDE w:val="0"/>
              <w:autoSpaceDN w:val="0"/>
              <w:adjustRightInd w:val="0"/>
              <w:jc w:val="center"/>
              <w:rPr>
                <w:rFonts w:cstheme="minorHAnsi"/>
                <w:sz w:val="18"/>
                <w:szCs w:val="18"/>
              </w:rPr>
            </w:pPr>
            <w:r>
              <w:rPr>
                <w:rFonts w:cstheme="minorHAnsi"/>
                <w:sz w:val="18"/>
                <w:szCs w:val="18"/>
              </w:rPr>
              <w:t>186</w:t>
            </w:r>
          </w:p>
        </w:tc>
      </w:tr>
    </w:tbl>
    <w:p w:rsidR="004608F2" w:rsidRPr="004608F2" w:rsidRDefault="004608F2" w:rsidP="004608F2">
      <w:pPr>
        <w:tabs>
          <w:tab w:val="center" w:pos="-2977"/>
          <w:tab w:val="left" w:pos="540"/>
        </w:tabs>
        <w:jc w:val="both"/>
        <w:rPr>
          <w:rFonts w:cstheme="minorHAnsi"/>
          <w:b/>
          <w:u w:val="single"/>
        </w:rPr>
      </w:pPr>
    </w:p>
    <w:p w:rsidR="00340ED0" w:rsidRDefault="00340ED0" w:rsidP="001B5FD7">
      <w:pPr>
        <w:jc w:val="both"/>
        <w:rPr>
          <w:rFonts w:ascii="Calibri" w:hAnsi="Calibri"/>
        </w:rPr>
      </w:pPr>
      <w:r>
        <w:rPr>
          <w:rFonts w:ascii="Calibri" w:hAnsi="Calibri"/>
        </w:rPr>
        <w:t xml:space="preserve">  </w:t>
      </w:r>
    </w:p>
    <w:p w:rsidR="00F03C6C" w:rsidRDefault="004B679E" w:rsidP="001B5FD7">
      <w:pPr>
        <w:jc w:val="both"/>
        <w:rPr>
          <w:rFonts w:cstheme="minorHAnsi"/>
        </w:rPr>
      </w:pPr>
      <w:r w:rsidRPr="004B679E">
        <w:rPr>
          <w:rFonts w:cstheme="minorHAnsi"/>
          <w:b/>
        </w:rPr>
        <w:t>Rashodi za nabavu neproizvedene dugotrajne imovine (AOP 342)</w:t>
      </w:r>
      <w:r>
        <w:rPr>
          <w:rFonts w:cstheme="minorHAnsi"/>
        </w:rPr>
        <w:t xml:space="preserve"> </w:t>
      </w:r>
      <w:r w:rsidR="00711083">
        <w:rPr>
          <w:rFonts w:cstheme="minorHAnsi"/>
        </w:rPr>
        <w:t>–</w:t>
      </w:r>
      <w:r>
        <w:rPr>
          <w:rFonts w:cstheme="minorHAnsi"/>
        </w:rPr>
        <w:t xml:space="preserve"> </w:t>
      </w:r>
      <w:r w:rsidR="00393965">
        <w:rPr>
          <w:rFonts w:cstheme="minorHAnsi"/>
        </w:rPr>
        <w:t xml:space="preserve">iznose 28.639.365 kn. </w:t>
      </w:r>
      <w:r w:rsidR="00CC3622">
        <w:rPr>
          <w:rFonts w:cstheme="minorHAnsi"/>
        </w:rPr>
        <w:t>Sastoje se od rashoda za materijalnu imovinu (Zemljišta) 19.318.511 kn te od rashoda za nematerijalnu imovinu: licence 5.585.520 kn i ulaganja na tuđoj imovini radi prava korištenja (izrada pontona Bundek) u iznosu 3.735.334 kn.</w:t>
      </w:r>
    </w:p>
    <w:p w:rsidR="00F03C6C" w:rsidRDefault="00F03C6C" w:rsidP="001B5FD7">
      <w:pPr>
        <w:jc w:val="both"/>
        <w:rPr>
          <w:rFonts w:cstheme="minorHAnsi"/>
        </w:rPr>
      </w:pPr>
      <w:r w:rsidRPr="00F03C6C">
        <w:rPr>
          <w:rFonts w:cstheme="minorHAnsi"/>
          <w:b/>
        </w:rPr>
        <w:t>Rashodi za nabavu proizvedene dugotrajne imovine (AOP 354)</w:t>
      </w:r>
      <w:r>
        <w:rPr>
          <w:rFonts w:cstheme="minorHAnsi"/>
        </w:rPr>
        <w:t xml:space="preserve"> – izvršeni su u iznosu </w:t>
      </w:r>
      <w:r w:rsidR="00CC3622">
        <w:rPr>
          <w:rFonts w:cstheme="minorHAnsi"/>
        </w:rPr>
        <w:t>686.549.654 kn što je za 59% više u odnosu na 2017. godinu.</w:t>
      </w:r>
    </w:p>
    <w:p w:rsidR="00CC3622" w:rsidRDefault="00F03C6C" w:rsidP="00F03C6C">
      <w:pPr>
        <w:jc w:val="both"/>
        <w:rPr>
          <w:rFonts w:cstheme="minorHAnsi"/>
        </w:rPr>
      </w:pPr>
      <w:r w:rsidRPr="00F03C6C">
        <w:rPr>
          <w:rFonts w:cstheme="minorHAnsi"/>
          <w:u w:val="single"/>
        </w:rPr>
        <w:t xml:space="preserve">Građevinski objekti (AOP 355) </w:t>
      </w:r>
      <w:r>
        <w:rPr>
          <w:rFonts w:cstheme="minorHAnsi"/>
          <w:u w:val="single"/>
        </w:rPr>
        <w:t>–</w:t>
      </w:r>
      <w:r w:rsidRPr="00F03C6C">
        <w:rPr>
          <w:rFonts w:cstheme="minorHAnsi"/>
          <w:u w:val="single"/>
        </w:rPr>
        <w:t xml:space="preserve"> </w:t>
      </w:r>
      <w:r w:rsidR="00CC3622">
        <w:rPr>
          <w:rFonts w:cstheme="minorHAnsi"/>
        </w:rPr>
        <w:t>na ulaganja u građevinske objekte potrošeno je 59% više u odnosu na prethodnu godinu.</w:t>
      </w:r>
    </w:p>
    <w:p w:rsidR="00CC3622" w:rsidRDefault="00CC3622" w:rsidP="00F03C6C">
      <w:pPr>
        <w:jc w:val="both"/>
        <w:rPr>
          <w:rFonts w:cstheme="minorHAnsi"/>
        </w:rPr>
      </w:pPr>
      <w:r>
        <w:rPr>
          <w:rFonts w:cstheme="minorHAnsi"/>
        </w:rPr>
        <w:t xml:space="preserve">Najveće smanjenje je na stavci stambenih objekata na koje je ove </w:t>
      </w:r>
      <w:r w:rsidR="00116B4E">
        <w:rPr>
          <w:rFonts w:cstheme="minorHAnsi"/>
        </w:rPr>
        <w:t xml:space="preserve">godine utrošeno samo 13.890 kn. Radi se o stanovima koje je Grad stekao </w:t>
      </w:r>
      <w:r w:rsidR="00C4321C">
        <w:rPr>
          <w:rFonts w:cstheme="minorHAnsi"/>
        </w:rPr>
        <w:t>temeljem Zakona o nasljeđivanju</w:t>
      </w:r>
      <w:r w:rsidR="00116B4E">
        <w:rPr>
          <w:rFonts w:cstheme="minorHAnsi"/>
        </w:rPr>
        <w:t>.</w:t>
      </w:r>
      <w:r>
        <w:rPr>
          <w:rFonts w:cstheme="minorHAnsi"/>
        </w:rPr>
        <w:t xml:space="preserve"> </w:t>
      </w:r>
    </w:p>
    <w:p w:rsidR="00FA5DD5" w:rsidRDefault="00F83E68" w:rsidP="00F03C6C">
      <w:pPr>
        <w:jc w:val="both"/>
        <w:rPr>
          <w:rFonts w:cstheme="minorHAnsi"/>
        </w:rPr>
      </w:pPr>
      <w:r>
        <w:rPr>
          <w:rFonts w:cstheme="minorHAnsi"/>
        </w:rPr>
        <w:t xml:space="preserve">Ulaganja u poslovne objekte </w:t>
      </w:r>
      <w:r w:rsidR="00545987">
        <w:rPr>
          <w:rFonts w:cstheme="minorHAnsi"/>
        </w:rPr>
        <w:t xml:space="preserve">povećalo se za 57% i iznosi 170.329.546 kn od čega su 54.670.473 kn financirana iz projekta ZagEE. </w:t>
      </w:r>
      <w:r>
        <w:rPr>
          <w:rFonts w:cstheme="minorHAnsi"/>
        </w:rPr>
        <w:t xml:space="preserve"> </w:t>
      </w:r>
      <w:r w:rsidR="00545987">
        <w:rPr>
          <w:rFonts w:cstheme="minorHAnsi"/>
        </w:rPr>
        <w:t>Projektom ZagEE financira se energetska obnova zgrada, a projekt provodi GU za gospodarstvo, energetiku i zaštitu okoliša.</w:t>
      </w:r>
      <w:r w:rsidR="00373387">
        <w:rPr>
          <w:rFonts w:cstheme="minorHAnsi"/>
        </w:rPr>
        <w:t xml:space="preserve"> U 2018. godini uloženo je u:</w:t>
      </w:r>
    </w:p>
    <w:p w:rsidR="00373387" w:rsidRDefault="00373387" w:rsidP="00373387">
      <w:pPr>
        <w:pStyle w:val="ListParagraph"/>
        <w:numPr>
          <w:ilvl w:val="0"/>
          <w:numId w:val="6"/>
        </w:numPr>
        <w:jc w:val="both"/>
        <w:rPr>
          <w:rFonts w:cstheme="minorHAnsi"/>
        </w:rPr>
      </w:pPr>
      <w:r>
        <w:rPr>
          <w:rFonts w:cstheme="minorHAnsi"/>
        </w:rPr>
        <w:t>Bolnice, ostale zdravstvene objekte, umirovljeničke domove   41.256.366 kn,</w:t>
      </w:r>
    </w:p>
    <w:p w:rsidR="00373387" w:rsidRDefault="00373387" w:rsidP="00373387">
      <w:pPr>
        <w:pStyle w:val="ListParagraph"/>
        <w:numPr>
          <w:ilvl w:val="0"/>
          <w:numId w:val="6"/>
        </w:numPr>
        <w:jc w:val="both"/>
        <w:rPr>
          <w:rFonts w:cstheme="minorHAnsi"/>
        </w:rPr>
      </w:pPr>
      <w:r>
        <w:rPr>
          <w:rFonts w:cstheme="minorHAnsi"/>
        </w:rPr>
        <w:t>Zgrade znanstvenih i obrazovnih institucija – predškol. Ustan. 14.624.288 kn,</w:t>
      </w:r>
    </w:p>
    <w:p w:rsidR="00373387" w:rsidRDefault="00373387" w:rsidP="00373387">
      <w:pPr>
        <w:pStyle w:val="ListParagraph"/>
        <w:numPr>
          <w:ilvl w:val="0"/>
          <w:numId w:val="6"/>
        </w:numPr>
        <w:jc w:val="both"/>
        <w:rPr>
          <w:rFonts w:cstheme="minorHAnsi"/>
        </w:rPr>
      </w:pPr>
      <w:r>
        <w:rPr>
          <w:rFonts w:cstheme="minorHAnsi"/>
        </w:rPr>
        <w:t>Zgrade znanstvenih i obrazovnih institucija – školski objekti     72.257.803 kn,</w:t>
      </w:r>
    </w:p>
    <w:p w:rsidR="00373387" w:rsidRDefault="00373387" w:rsidP="00373387">
      <w:pPr>
        <w:pStyle w:val="ListParagraph"/>
        <w:numPr>
          <w:ilvl w:val="0"/>
          <w:numId w:val="6"/>
        </w:numPr>
        <w:jc w:val="both"/>
        <w:rPr>
          <w:rFonts w:cstheme="minorHAnsi"/>
        </w:rPr>
      </w:pPr>
      <w:r>
        <w:rPr>
          <w:rFonts w:cstheme="minorHAnsi"/>
        </w:rPr>
        <w:t xml:space="preserve">Zgrade kulturnih institucija </w:t>
      </w:r>
      <w:r>
        <w:rPr>
          <w:rFonts w:cstheme="minorHAnsi"/>
        </w:rPr>
        <w:tab/>
      </w:r>
      <w:r>
        <w:rPr>
          <w:rFonts w:cstheme="minorHAnsi"/>
        </w:rPr>
        <w:tab/>
      </w:r>
      <w:r>
        <w:rPr>
          <w:rFonts w:cstheme="minorHAnsi"/>
        </w:rPr>
        <w:tab/>
      </w:r>
      <w:r>
        <w:rPr>
          <w:rFonts w:cstheme="minorHAnsi"/>
        </w:rPr>
        <w:tab/>
        <w:t xml:space="preserve">              5.880.990 kn,</w:t>
      </w:r>
      <w:r>
        <w:rPr>
          <w:rFonts w:cstheme="minorHAnsi"/>
        </w:rPr>
        <w:tab/>
      </w:r>
    </w:p>
    <w:p w:rsidR="00373387" w:rsidRDefault="00373387" w:rsidP="00373387">
      <w:pPr>
        <w:pStyle w:val="ListParagraph"/>
        <w:numPr>
          <w:ilvl w:val="0"/>
          <w:numId w:val="6"/>
        </w:numPr>
        <w:jc w:val="both"/>
        <w:rPr>
          <w:rFonts w:cstheme="minorHAnsi"/>
        </w:rPr>
      </w:pPr>
      <w:r>
        <w:rPr>
          <w:rFonts w:cstheme="minorHAnsi"/>
        </w:rPr>
        <w:t>Sportske dvorane i rekreacijski objekti</w:t>
      </w:r>
      <w:r>
        <w:rPr>
          <w:rFonts w:cstheme="minorHAnsi"/>
        </w:rPr>
        <w:tab/>
      </w:r>
      <w:r>
        <w:rPr>
          <w:rFonts w:cstheme="minorHAnsi"/>
        </w:rPr>
        <w:tab/>
      </w:r>
      <w:r>
        <w:rPr>
          <w:rFonts w:cstheme="minorHAnsi"/>
        </w:rPr>
        <w:tab/>
        <w:t xml:space="preserve">            24.943.341 kn,</w:t>
      </w:r>
    </w:p>
    <w:p w:rsidR="00373387" w:rsidRPr="00373387" w:rsidRDefault="00373387" w:rsidP="00373387">
      <w:pPr>
        <w:pStyle w:val="ListParagraph"/>
        <w:numPr>
          <w:ilvl w:val="0"/>
          <w:numId w:val="6"/>
        </w:numPr>
        <w:jc w:val="both"/>
        <w:rPr>
          <w:rFonts w:cstheme="minorHAnsi"/>
        </w:rPr>
      </w:pPr>
      <w:r>
        <w:rPr>
          <w:rFonts w:cstheme="minorHAnsi"/>
        </w:rPr>
        <w:t>Ostali poslovni objekti (poslovni obj. u vlasništvu grada)            11.366.758 kn.</w:t>
      </w:r>
      <w:r>
        <w:rPr>
          <w:rFonts w:cstheme="minorHAnsi"/>
        </w:rPr>
        <w:tab/>
      </w:r>
    </w:p>
    <w:p w:rsidR="00125603" w:rsidRDefault="001C1D18" w:rsidP="00F03C6C">
      <w:pPr>
        <w:jc w:val="both"/>
        <w:rPr>
          <w:rFonts w:cstheme="minorHAnsi"/>
        </w:rPr>
      </w:pPr>
      <w:r>
        <w:rPr>
          <w:rFonts w:cstheme="minorHAnsi"/>
        </w:rPr>
        <w:t xml:space="preserve">Povećanje od 210.376.754 kn </w:t>
      </w:r>
      <w:r w:rsidR="00125603">
        <w:rPr>
          <w:rFonts w:cstheme="minorHAnsi"/>
        </w:rPr>
        <w:t xml:space="preserve">na stavci Ceste, željeznice i ostali prometni objekti </w:t>
      </w:r>
      <w:r>
        <w:rPr>
          <w:rFonts w:cstheme="minorHAnsi"/>
        </w:rPr>
        <w:t>najvećim djelom se odnosi na početak gradnje Remetinečkog Rotora i IV etape Radničke ceste.</w:t>
      </w:r>
    </w:p>
    <w:p w:rsidR="00125603" w:rsidRDefault="00125603" w:rsidP="00F03C6C">
      <w:pPr>
        <w:jc w:val="both"/>
        <w:rPr>
          <w:rFonts w:cstheme="minorHAnsi"/>
        </w:rPr>
      </w:pPr>
      <w:r>
        <w:rPr>
          <w:rFonts w:cstheme="minorHAnsi"/>
        </w:rPr>
        <w:t xml:space="preserve">Rashodi na stavci ostali građevinski objekti iznose </w:t>
      </w:r>
      <w:r w:rsidR="001C1D18">
        <w:rPr>
          <w:rFonts w:cstheme="minorHAnsi"/>
        </w:rPr>
        <w:t>260.081.779</w:t>
      </w:r>
      <w:r>
        <w:rPr>
          <w:rFonts w:cstheme="minorHAnsi"/>
        </w:rPr>
        <w:t xml:space="preserve"> kn što je </w:t>
      </w:r>
      <w:r w:rsidR="001C1D18">
        <w:rPr>
          <w:rFonts w:cstheme="minorHAnsi"/>
        </w:rPr>
        <w:t>9</w:t>
      </w:r>
      <w:r>
        <w:rPr>
          <w:rFonts w:cstheme="minorHAnsi"/>
        </w:rPr>
        <w:t xml:space="preserve">% </w:t>
      </w:r>
      <w:r w:rsidR="001C1D18">
        <w:rPr>
          <w:rFonts w:cstheme="minorHAnsi"/>
        </w:rPr>
        <w:t>manje</w:t>
      </w:r>
      <w:r>
        <w:rPr>
          <w:rFonts w:cstheme="minorHAnsi"/>
        </w:rPr>
        <w:t xml:space="preserve"> u odnosu na prethodnu godinu. </w:t>
      </w:r>
      <w:r w:rsidR="006F6826">
        <w:rPr>
          <w:rFonts w:cstheme="minorHAnsi"/>
        </w:rPr>
        <w:t>Ovdje u evidentirani rashodi za ulaganja: u</w:t>
      </w:r>
      <w:r w:rsidR="00E94C08">
        <w:rPr>
          <w:rFonts w:cstheme="minorHAnsi"/>
        </w:rPr>
        <w:t xml:space="preserve"> plinovod, vodovod i kanalizaciju u</w:t>
      </w:r>
      <w:r w:rsidR="006F6826">
        <w:rPr>
          <w:rFonts w:cstheme="minorHAnsi"/>
        </w:rPr>
        <w:t xml:space="preserve"> objekte mjesnih samouprava, uređenje dječjih igrališta i parkirališta, izgradnju autobusnih stajališta, izgradnja groblja za kućne ljubimce, javna rasvjeta, gradnja oborinske odvodnje…</w:t>
      </w:r>
    </w:p>
    <w:p w:rsidR="006F6826" w:rsidRDefault="006F6826" w:rsidP="00F03C6C">
      <w:pPr>
        <w:jc w:val="both"/>
        <w:rPr>
          <w:rFonts w:cstheme="minorHAnsi"/>
        </w:rPr>
      </w:pPr>
      <w:r w:rsidRPr="006F6826">
        <w:rPr>
          <w:rFonts w:cstheme="minorHAnsi"/>
          <w:u w:val="single"/>
        </w:rPr>
        <w:t xml:space="preserve">Postrojenja i oprema (AOP 360) - </w:t>
      </w:r>
      <w:r w:rsidR="0076773A">
        <w:rPr>
          <w:rFonts w:cstheme="minorHAnsi"/>
          <w:u w:val="single"/>
        </w:rPr>
        <w:t xml:space="preserve"> </w:t>
      </w:r>
      <w:r w:rsidR="00E94C08">
        <w:rPr>
          <w:rFonts w:cstheme="minorHAnsi"/>
        </w:rPr>
        <w:t>na ovoj stavci ukupno je potrošeno 35.431.560 kn što je 41% više u odnosu na prethodnu godinu. Najveće povećanje je na stavci Sportska i glazbena oprema na kojoj je potrošeno 13.851.714 kn. Nabavljena je oprema za atletsku dvoranu na Zg. Velesajmu 8.118.618 kn, stroj za zasnježenje 5.571.954 kn i Kryo sauna 161.142 kn</w:t>
      </w:r>
    </w:p>
    <w:p w:rsidR="0090267A" w:rsidRDefault="0090267A" w:rsidP="00F03C6C">
      <w:pPr>
        <w:jc w:val="both"/>
        <w:rPr>
          <w:rFonts w:cstheme="minorHAnsi"/>
        </w:rPr>
      </w:pPr>
      <w:r w:rsidRPr="0090267A">
        <w:rPr>
          <w:rFonts w:cstheme="minorHAnsi"/>
          <w:u w:val="single"/>
        </w:rPr>
        <w:lastRenderedPageBreak/>
        <w:t>Prijevozna sredstva (AOP 369)</w:t>
      </w:r>
      <w:r>
        <w:rPr>
          <w:rFonts w:cstheme="minorHAnsi"/>
        </w:rPr>
        <w:t xml:space="preserve"> – na ovoj skupini evidentirana je vrijednost pet automobila </w:t>
      </w:r>
      <w:r w:rsidR="0080660A">
        <w:rPr>
          <w:rFonts w:cstheme="minorHAnsi"/>
        </w:rPr>
        <w:t xml:space="preserve">i dva motocikla </w:t>
      </w:r>
      <w:r>
        <w:rPr>
          <w:rFonts w:cstheme="minorHAnsi"/>
        </w:rPr>
        <w:t xml:space="preserve">koje je Grad dobio temeljem Zakona o nasljeđivanju. Vrijednost automobila iznosi </w:t>
      </w:r>
      <w:r w:rsidR="00FD61C0">
        <w:rPr>
          <w:rFonts w:cstheme="minorHAnsi"/>
        </w:rPr>
        <w:t>107.161</w:t>
      </w:r>
      <w:r>
        <w:rPr>
          <w:rFonts w:cstheme="minorHAnsi"/>
        </w:rPr>
        <w:t xml:space="preserve"> kn.</w:t>
      </w:r>
    </w:p>
    <w:p w:rsidR="00FD61C0" w:rsidRDefault="00F154FD" w:rsidP="00F03C6C">
      <w:pPr>
        <w:jc w:val="both"/>
        <w:rPr>
          <w:rFonts w:cstheme="minorHAnsi"/>
        </w:rPr>
      </w:pPr>
      <w:r w:rsidRPr="00F154FD">
        <w:rPr>
          <w:rFonts w:cstheme="minorHAnsi"/>
          <w:u w:val="single"/>
        </w:rPr>
        <w:t xml:space="preserve">Knjige, umjetnička djela i ostale izložbene vrijednosti (AOP 347) </w:t>
      </w:r>
      <w:r w:rsidRPr="00F154FD">
        <w:rPr>
          <w:rFonts w:cstheme="minorHAnsi"/>
        </w:rPr>
        <w:t xml:space="preserve">– na </w:t>
      </w:r>
      <w:r>
        <w:rPr>
          <w:rFonts w:cstheme="minorHAnsi"/>
        </w:rPr>
        <w:t xml:space="preserve">ovoj skupini evidentirani su rashodi za nabavku knjiga za školske knjižnice u privatnim školama </w:t>
      </w:r>
      <w:r w:rsidR="00FD61C0">
        <w:rPr>
          <w:rFonts w:cstheme="minorHAnsi"/>
        </w:rPr>
        <w:t>19.365</w:t>
      </w:r>
      <w:r>
        <w:rPr>
          <w:rFonts w:cstheme="minorHAnsi"/>
        </w:rPr>
        <w:t xml:space="preserve"> kn</w:t>
      </w:r>
      <w:r w:rsidR="00FD61C0">
        <w:rPr>
          <w:rFonts w:cstheme="minorHAnsi"/>
        </w:rPr>
        <w:t>.</w:t>
      </w:r>
      <w:r>
        <w:rPr>
          <w:rFonts w:cstheme="minorHAnsi"/>
        </w:rPr>
        <w:t xml:space="preserve"> </w:t>
      </w:r>
    </w:p>
    <w:p w:rsidR="00F154FD" w:rsidRDefault="00F154FD" w:rsidP="00F03C6C">
      <w:pPr>
        <w:jc w:val="both"/>
        <w:rPr>
          <w:rFonts w:cstheme="minorHAnsi"/>
        </w:rPr>
      </w:pPr>
      <w:r w:rsidRPr="00F154FD">
        <w:rPr>
          <w:rFonts w:cstheme="minorHAnsi"/>
          <w:u w:val="single"/>
        </w:rPr>
        <w:t>Nematerijalna proizvedena imovina (AOP 382)</w:t>
      </w:r>
      <w:r>
        <w:rPr>
          <w:rFonts w:cstheme="minorHAnsi"/>
        </w:rPr>
        <w:t xml:space="preserve"> – za ulaganje u računalne programe uloženo je </w:t>
      </w:r>
      <w:r w:rsidR="00FD61C0">
        <w:rPr>
          <w:rFonts w:cstheme="minorHAnsi"/>
        </w:rPr>
        <w:t>1.537.698</w:t>
      </w:r>
      <w:r>
        <w:rPr>
          <w:rFonts w:cstheme="minorHAnsi"/>
        </w:rPr>
        <w:t xml:space="preserve"> kn što je </w:t>
      </w:r>
      <w:r w:rsidR="00FD61C0">
        <w:rPr>
          <w:rFonts w:cstheme="minorHAnsi"/>
        </w:rPr>
        <w:t>31</w:t>
      </w:r>
      <w:r>
        <w:rPr>
          <w:rFonts w:cstheme="minorHAnsi"/>
        </w:rPr>
        <w:t xml:space="preserve">% </w:t>
      </w:r>
      <w:r w:rsidR="00FD61C0">
        <w:rPr>
          <w:rFonts w:cstheme="minorHAnsi"/>
        </w:rPr>
        <w:t>manje</w:t>
      </w:r>
      <w:r>
        <w:rPr>
          <w:rFonts w:cstheme="minorHAnsi"/>
        </w:rPr>
        <w:t xml:space="preserve"> od prethodne godine, a na ostalu nematerijalnu proizvedenu imovinu utrošeno je </w:t>
      </w:r>
      <w:r w:rsidR="00FD61C0">
        <w:rPr>
          <w:rFonts w:cstheme="minorHAnsi"/>
        </w:rPr>
        <w:t>2.327.548</w:t>
      </w:r>
      <w:r>
        <w:rPr>
          <w:rFonts w:cstheme="minorHAnsi"/>
        </w:rPr>
        <w:t xml:space="preserve"> kn. Na stavci ostale nematerijalne proizvedene imovine evidentirani su troškovi izrade prostornih i urbanističkih planova, </w:t>
      </w:r>
      <w:r w:rsidR="00EC7B51">
        <w:rPr>
          <w:rFonts w:cstheme="minorHAnsi"/>
        </w:rPr>
        <w:t>ulaganja u informacijski sustav prostornog uređenja, poslovi statistike i demografije te upravljanje podacima o prostoru i stanovništvu grada.</w:t>
      </w:r>
    </w:p>
    <w:p w:rsidR="007C3985" w:rsidRPr="007C3985" w:rsidRDefault="007C3985" w:rsidP="00F03C6C">
      <w:pPr>
        <w:jc w:val="both"/>
        <w:rPr>
          <w:rFonts w:cstheme="minorHAnsi"/>
          <w:color w:val="FF0000"/>
        </w:rPr>
      </w:pPr>
      <w:r w:rsidRPr="007C3985">
        <w:rPr>
          <w:rFonts w:cstheme="minorHAnsi"/>
          <w:b/>
        </w:rPr>
        <w:t xml:space="preserve">Rashodi za dodatna ulaganja na nefinancijskoj imovini (AOP 393) </w:t>
      </w:r>
      <w:r>
        <w:rPr>
          <w:rFonts w:cstheme="minorHAnsi"/>
          <w:b/>
        </w:rPr>
        <w:t>–</w:t>
      </w:r>
      <w:r w:rsidRPr="007C3985">
        <w:rPr>
          <w:rFonts w:cstheme="minorHAnsi"/>
          <w:b/>
        </w:rPr>
        <w:t xml:space="preserve"> </w:t>
      </w:r>
      <w:r w:rsidR="00EA0E33">
        <w:rPr>
          <w:rFonts w:cstheme="minorHAnsi"/>
        </w:rPr>
        <w:t>dodatna ulaganja na objekte kulturnih, predškolskih, školskih, sportskih, zdravstvenih ustanova te na objekte socijalne skrbi tijekom 201</w:t>
      </w:r>
      <w:r w:rsidR="001C3101">
        <w:rPr>
          <w:rFonts w:cstheme="minorHAnsi"/>
        </w:rPr>
        <w:t>8</w:t>
      </w:r>
      <w:r w:rsidR="00EA0E33">
        <w:rPr>
          <w:rFonts w:cstheme="minorHAnsi"/>
        </w:rPr>
        <w:t xml:space="preserve">. utrošeno je </w:t>
      </w:r>
      <w:r w:rsidR="001C3101">
        <w:rPr>
          <w:rFonts w:cstheme="minorHAnsi"/>
        </w:rPr>
        <w:t>121.542.965</w:t>
      </w:r>
      <w:r w:rsidR="00EA0E33">
        <w:rPr>
          <w:rFonts w:cstheme="minorHAnsi"/>
        </w:rPr>
        <w:t xml:space="preserve"> kn odnosno </w:t>
      </w:r>
      <w:r w:rsidR="001C3101">
        <w:rPr>
          <w:rFonts w:cstheme="minorHAnsi"/>
        </w:rPr>
        <w:t>86</w:t>
      </w:r>
      <w:r w:rsidR="00EA0E33">
        <w:rPr>
          <w:rFonts w:cstheme="minorHAnsi"/>
        </w:rPr>
        <w:t xml:space="preserve">% više u odnosu na prethodnu godinu. </w:t>
      </w:r>
      <w:r w:rsidR="001C3101">
        <w:rPr>
          <w:rFonts w:cstheme="minorHAnsi"/>
        </w:rPr>
        <w:t>Najveći iznos ulaganja odnosi se na školske objekte 79.884.257 kn.</w:t>
      </w:r>
    </w:p>
    <w:p w:rsidR="00FA5DD5" w:rsidRDefault="00FA5DD5" w:rsidP="001B5FD7">
      <w:pPr>
        <w:autoSpaceDE w:val="0"/>
        <w:autoSpaceDN w:val="0"/>
        <w:adjustRightInd w:val="0"/>
        <w:spacing w:after="0" w:line="240" w:lineRule="auto"/>
        <w:jc w:val="both"/>
        <w:rPr>
          <w:rFonts w:cstheme="minorHAnsi"/>
          <w:color w:val="FF0000"/>
        </w:rPr>
      </w:pPr>
    </w:p>
    <w:p w:rsidR="007F5503" w:rsidRDefault="007F5503" w:rsidP="001B5FD7">
      <w:pPr>
        <w:autoSpaceDE w:val="0"/>
        <w:autoSpaceDN w:val="0"/>
        <w:adjustRightInd w:val="0"/>
        <w:spacing w:after="0" w:line="240" w:lineRule="auto"/>
        <w:jc w:val="both"/>
        <w:rPr>
          <w:rFonts w:cstheme="minorHAnsi"/>
          <w:b/>
          <w:u w:val="single"/>
        </w:rPr>
      </w:pPr>
    </w:p>
    <w:p w:rsidR="008C0F41" w:rsidRDefault="00EA0E33" w:rsidP="001B5FD7">
      <w:pPr>
        <w:autoSpaceDE w:val="0"/>
        <w:autoSpaceDN w:val="0"/>
        <w:adjustRightInd w:val="0"/>
        <w:spacing w:after="0" w:line="240" w:lineRule="auto"/>
        <w:jc w:val="both"/>
        <w:rPr>
          <w:rFonts w:cstheme="minorHAnsi"/>
          <w:b/>
          <w:u w:val="single"/>
        </w:rPr>
      </w:pPr>
      <w:r w:rsidRPr="00EA0E33">
        <w:rPr>
          <w:rFonts w:cstheme="minorHAnsi"/>
          <w:b/>
          <w:u w:val="single"/>
        </w:rPr>
        <w:t>PRIMICI OD FINANCIJSKE IMOVINE I ZADUŽIVANJA</w:t>
      </w:r>
      <w:r>
        <w:rPr>
          <w:rFonts w:cstheme="minorHAnsi"/>
          <w:b/>
          <w:u w:val="single"/>
        </w:rPr>
        <w:t xml:space="preserve"> (AOP 410)</w:t>
      </w:r>
      <w:r w:rsidR="008C0F41">
        <w:rPr>
          <w:rFonts w:cstheme="minorHAnsi"/>
          <w:b/>
          <w:u w:val="single"/>
        </w:rPr>
        <w:t xml:space="preserve"> </w:t>
      </w:r>
    </w:p>
    <w:p w:rsidR="00DC40E7" w:rsidRDefault="00DC40E7" w:rsidP="001B5FD7">
      <w:pPr>
        <w:autoSpaceDE w:val="0"/>
        <w:autoSpaceDN w:val="0"/>
        <w:adjustRightInd w:val="0"/>
        <w:spacing w:after="0" w:line="240" w:lineRule="auto"/>
        <w:jc w:val="both"/>
        <w:rPr>
          <w:rFonts w:cstheme="minorHAnsi"/>
          <w:b/>
          <w:u w:val="single"/>
        </w:rPr>
      </w:pPr>
    </w:p>
    <w:p w:rsidR="00DC40E7" w:rsidRPr="001917BD" w:rsidRDefault="00DC40E7" w:rsidP="001B5FD7">
      <w:pPr>
        <w:autoSpaceDE w:val="0"/>
        <w:autoSpaceDN w:val="0"/>
        <w:adjustRightInd w:val="0"/>
        <w:spacing w:after="0" w:line="240" w:lineRule="auto"/>
        <w:jc w:val="both"/>
        <w:rPr>
          <w:rFonts w:cstheme="minorHAnsi"/>
        </w:rPr>
      </w:pPr>
      <w:r w:rsidRPr="001917BD">
        <w:rPr>
          <w:rFonts w:cstheme="minorHAnsi"/>
        </w:rPr>
        <w:t>Tablica 5: Primici od financijske imovine i zaduživanja</w:t>
      </w:r>
    </w:p>
    <w:p w:rsidR="00DC40E7" w:rsidRPr="001C3101" w:rsidRDefault="00DC40E7" w:rsidP="001B5FD7">
      <w:pPr>
        <w:autoSpaceDE w:val="0"/>
        <w:autoSpaceDN w:val="0"/>
        <w:adjustRightInd w:val="0"/>
        <w:spacing w:after="0" w:line="240" w:lineRule="auto"/>
        <w:jc w:val="both"/>
        <w:rPr>
          <w:rFonts w:cstheme="minorHAnsi"/>
          <w:color w:val="FF0000"/>
        </w:rPr>
      </w:pPr>
    </w:p>
    <w:tbl>
      <w:tblPr>
        <w:tblStyle w:val="TableGrid"/>
        <w:tblW w:w="0" w:type="auto"/>
        <w:jc w:val="center"/>
        <w:tblLook w:val="04A0" w:firstRow="1" w:lastRow="0" w:firstColumn="1" w:lastColumn="0" w:noHBand="0" w:noVBand="1"/>
      </w:tblPr>
      <w:tblGrid>
        <w:gridCol w:w="651"/>
        <w:gridCol w:w="3030"/>
        <w:gridCol w:w="533"/>
        <w:gridCol w:w="1533"/>
        <w:gridCol w:w="1565"/>
        <w:gridCol w:w="700"/>
      </w:tblGrid>
      <w:tr w:rsidR="00AD7813" w:rsidRPr="001C3101" w:rsidTr="009F3D0C">
        <w:trPr>
          <w:trHeight w:val="416"/>
          <w:jc w:val="center"/>
        </w:trPr>
        <w:tc>
          <w:tcPr>
            <w:tcW w:w="651" w:type="dxa"/>
            <w:shd w:val="clear" w:color="auto" w:fill="BDD6EE" w:themeFill="accent1" w:themeFillTint="66"/>
            <w:noWrap/>
            <w:vAlign w:val="center"/>
            <w:hideMark/>
          </w:tcPr>
          <w:p w:rsidR="00DC40E7" w:rsidRPr="001917BD" w:rsidRDefault="00DC40E7" w:rsidP="009F3D0C">
            <w:pPr>
              <w:autoSpaceDE w:val="0"/>
              <w:autoSpaceDN w:val="0"/>
              <w:adjustRightInd w:val="0"/>
              <w:jc w:val="center"/>
              <w:rPr>
                <w:rFonts w:cstheme="minorHAnsi"/>
                <w:sz w:val="16"/>
                <w:szCs w:val="16"/>
              </w:rPr>
            </w:pPr>
            <w:r w:rsidRPr="001917BD">
              <w:rPr>
                <w:rFonts w:cstheme="minorHAnsi"/>
                <w:sz w:val="16"/>
                <w:szCs w:val="16"/>
              </w:rPr>
              <w:t>Račun</w:t>
            </w:r>
          </w:p>
        </w:tc>
        <w:tc>
          <w:tcPr>
            <w:tcW w:w="3030" w:type="dxa"/>
            <w:shd w:val="clear" w:color="auto" w:fill="BDD6EE" w:themeFill="accent1" w:themeFillTint="66"/>
            <w:noWrap/>
            <w:vAlign w:val="center"/>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OPIS</w:t>
            </w:r>
          </w:p>
        </w:tc>
        <w:tc>
          <w:tcPr>
            <w:tcW w:w="533" w:type="dxa"/>
            <w:shd w:val="clear" w:color="auto" w:fill="BDD6EE" w:themeFill="accent1" w:themeFillTint="66"/>
            <w:noWrap/>
            <w:vAlign w:val="center"/>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AOP</w:t>
            </w:r>
          </w:p>
        </w:tc>
        <w:tc>
          <w:tcPr>
            <w:tcW w:w="1533" w:type="dxa"/>
            <w:shd w:val="clear" w:color="auto" w:fill="BDD6EE" w:themeFill="accent1" w:themeFillTint="66"/>
            <w:vAlign w:val="center"/>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Ostvareno prethodne godine</w:t>
            </w:r>
          </w:p>
        </w:tc>
        <w:tc>
          <w:tcPr>
            <w:tcW w:w="1565" w:type="dxa"/>
            <w:shd w:val="clear" w:color="auto" w:fill="BDD6EE" w:themeFill="accent1" w:themeFillTint="66"/>
            <w:vAlign w:val="center"/>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Ostvareno u tekućem razdoblju</w:t>
            </w:r>
          </w:p>
        </w:tc>
        <w:tc>
          <w:tcPr>
            <w:tcW w:w="700" w:type="dxa"/>
            <w:shd w:val="clear" w:color="auto" w:fill="BDD6EE" w:themeFill="accent1" w:themeFillTint="66"/>
            <w:noWrap/>
            <w:vAlign w:val="center"/>
            <w:hideMark/>
          </w:tcPr>
          <w:p w:rsidR="00DC40E7" w:rsidRPr="001917BD" w:rsidRDefault="00DC40E7" w:rsidP="009F3D0C">
            <w:pPr>
              <w:autoSpaceDE w:val="0"/>
              <w:autoSpaceDN w:val="0"/>
              <w:adjustRightInd w:val="0"/>
              <w:jc w:val="center"/>
              <w:rPr>
                <w:rFonts w:cstheme="minorHAnsi"/>
                <w:sz w:val="16"/>
                <w:szCs w:val="16"/>
              </w:rPr>
            </w:pPr>
            <w:r w:rsidRPr="001917BD">
              <w:rPr>
                <w:rFonts w:cstheme="minorHAnsi"/>
                <w:sz w:val="16"/>
                <w:szCs w:val="16"/>
              </w:rPr>
              <w:t>INDEKS</w:t>
            </w:r>
          </w:p>
        </w:tc>
      </w:tr>
      <w:tr w:rsidR="00AD7813" w:rsidRPr="001C3101" w:rsidTr="009F3D0C">
        <w:trPr>
          <w:trHeight w:val="210"/>
          <w:jc w:val="center"/>
        </w:trPr>
        <w:tc>
          <w:tcPr>
            <w:tcW w:w="651" w:type="dxa"/>
            <w:shd w:val="clear" w:color="auto" w:fill="BDD6EE" w:themeFill="accent1" w:themeFillTint="66"/>
            <w:noWrap/>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1</w:t>
            </w:r>
          </w:p>
        </w:tc>
        <w:tc>
          <w:tcPr>
            <w:tcW w:w="3030" w:type="dxa"/>
            <w:shd w:val="clear" w:color="auto" w:fill="BDD6EE" w:themeFill="accent1" w:themeFillTint="66"/>
            <w:noWrap/>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2</w:t>
            </w:r>
          </w:p>
        </w:tc>
        <w:tc>
          <w:tcPr>
            <w:tcW w:w="533" w:type="dxa"/>
            <w:shd w:val="clear" w:color="auto" w:fill="BDD6EE" w:themeFill="accent1" w:themeFillTint="66"/>
            <w:noWrap/>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3</w:t>
            </w:r>
          </w:p>
        </w:tc>
        <w:tc>
          <w:tcPr>
            <w:tcW w:w="1533" w:type="dxa"/>
            <w:shd w:val="clear" w:color="auto" w:fill="BDD6EE" w:themeFill="accent1" w:themeFillTint="66"/>
            <w:noWrap/>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4</w:t>
            </w:r>
          </w:p>
        </w:tc>
        <w:tc>
          <w:tcPr>
            <w:tcW w:w="1565" w:type="dxa"/>
            <w:shd w:val="clear" w:color="auto" w:fill="BDD6EE" w:themeFill="accent1" w:themeFillTint="66"/>
            <w:noWrap/>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5</w:t>
            </w:r>
          </w:p>
        </w:tc>
        <w:tc>
          <w:tcPr>
            <w:tcW w:w="700" w:type="dxa"/>
            <w:shd w:val="clear" w:color="auto" w:fill="BDD6EE" w:themeFill="accent1" w:themeFillTint="66"/>
            <w:noWrap/>
            <w:hideMark/>
          </w:tcPr>
          <w:p w:rsidR="00DC40E7" w:rsidRPr="001917BD" w:rsidRDefault="00DC40E7" w:rsidP="009F3D0C">
            <w:pPr>
              <w:autoSpaceDE w:val="0"/>
              <w:autoSpaceDN w:val="0"/>
              <w:adjustRightInd w:val="0"/>
              <w:jc w:val="center"/>
              <w:rPr>
                <w:rFonts w:cstheme="minorHAnsi"/>
                <w:sz w:val="18"/>
                <w:szCs w:val="18"/>
              </w:rPr>
            </w:pPr>
            <w:r w:rsidRPr="001917BD">
              <w:rPr>
                <w:rFonts w:cstheme="minorHAnsi"/>
                <w:sz w:val="18"/>
                <w:szCs w:val="18"/>
              </w:rPr>
              <w:t>6</w:t>
            </w:r>
          </w:p>
        </w:tc>
      </w:tr>
      <w:tr w:rsidR="001917BD" w:rsidRPr="001C3101" w:rsidTr="001917BD">
        <w:trPr>
          <w:trHeight w:val="555"/>
          <w:jc w:val="center"/>
        </w:trPr>
        <w:tc>
          <w:tcPr>
            <w:tcW w:w="651" w:type="dxa"/>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w:t>
            </w:r>
          </w:p>
        </w:tc>
        <w:tc>
          <w:tcPr>
            <w:tcW w:w="3030" w:type="dxa"/>
            <w:noWrap/>
            <w:vAlign w:val="center"/>
            <w:hideMark/>
          </w:tcPr>
          <w:p w:rsidR="00DC40E7" w:rsidRPr="001917BD" w:rsidRDefault="00DC40E7" w:rsidP="00270A1A">
            <w:pPr>
              <w:autoSpaceDE w:val="0"/>
              <w:autoSpaceDN w:val="0"/>
              <w:adjustRightInd w:val="0"/>
              <w:jc w:val="both"/>
              <w:rPr>
                <w:rFonts w:cstheme="minorHAnsi"/>
                <w:sz w:val="18"/>
                <w:szCs w:val="18"/>
              </w:rPr>
            </w:pPr>
            <w:r w:rsidRPr="001917BD">
              <w:rPr>
                <w:rFonts w:cstheme="minorHAnsi"/>
                <w:sz w:val="18"/>
                <w:szCs w:val="18"/>
              </w:rPr>
              <w:t>PRIMICI OD FINANCIJSKE IMOVINE I ZADUŽIVANJA</w:t>
            </w:r>
          </w:p>
        </w:tc>
        <w:tc>
          <w:tcPr>
            <w:tcW w:w="533" w:type="dxa"/>
            <w:noWrap/>
            <w:vAlign w:val="center"/>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410</w:t>
            </w:r>
          </w:p>
        </w:tc>
        <w:tc>
          <w:tcPr>
            <w:tcW w:w="1533"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368.766.165</w:t>
            </w:r>
          </w:p>
        </w:tc>
        <w:tc>
          <w:tcPr>
            <w:tcW w:w="1565"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565.916.785</w:t>
            </w:r>
          </w:p>
        </w:tc>
        <w:tc>
          <w:tcPr>
            <w:tcW w:w="700"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153</w:t>
            </w:r>
          </w:p>
        </w:tc>
      </w:tr>
      <w:tr w:rsidR="001917BD" w:rsidRPr="001C3101" w:rsidTr="001917BD">
        <w:trPr>
          <w:trHeight w:val="555"/>
          <w:jc w:val="center"/>
        </w:trPr>
        <w:tc>
          <w:tcPr>
            <w:tcW w:w="651" w:type="dxa"/>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81</w:t>
            </w:r>
          </w:p>
        </w:tc>
        <w:tc>
          <w:tcPr>
            <w:tcW w:w="3030" w:type="dxa"/>
            <w:vAlign w:val="center"/>
            <w:hideMark/>
          </w:tcPr>
          <w:p w:rsidR="00DC40E7" w:rsidRPr="001917BD" w:rsidRDefault="00DC40E7" w:rsidP="00270A1A">
            <w:pPr>
              <w:autoSpaceDE w:val="0"/>
              <w:autoSpaceDN w:val="0"/>
              <w:adjustRightInd w:val="0"/>
              <w:jc w:val="both"/>
              <w:rPr>
                <w:rFonts w:cstheme="minorHAnsi"/>
                <w:sz w:val="18"/>
                <w:szCs w:val="18"/>
              </w:rPr>
            </w:pPr>
            <w:r w:rsidRPr="001917BD">
              <w:rPr>
                <w:rFonts w:cstheme="minorHAnsi"/>
                <w:sz w:val="18"/>
                <w:szCs w:val="18"/>
              </w:rPr>
              <w:t>PRIMLJENI POVRATI GLAVNICE DANIH ZAJMOVA I DEPOZITA</w:t>
            </w:r>
          </w:p>
        </w:tc>
        <w:tc>
          <w:tcPr>
            <w:tcW w:w="533" w:type="dxa"/>
            <w:noWrap/>
            <w:vAlign w:val="center"/>
          </w:tcPr>
          <w:p w:rsidR="00DC40E7" w:rsidRPr="001917BD" w:rsidRDefault="000110FA" w:rsidP="001917BD">
            <w:pPr>
              <w:autoSpaceDE w:val="0"/>
              <w:autoSpaceDN w:val="0"/>
              <w:adjustRightInd w:val="0"/>
              <w:jc w:val="center"/>
              <w:rPr>
                <w:rFonts w:cstheme="minorHAnsi"/>
                <w:sz w:val="18"/>
                <w:szCs w:val="18"/>
              </w:rPr>
            </w:pPr>
            <w:r w:rsidRPr="001917BD">
              <w:rPr>
                <w:rFonts w:cstheme="minorHAnsi"/>
                <w:sz w:val="18"/>
                <w:szCs w:val="18"/>
              </w:rPr>
              <w:t>411</w:t>
            </w:r>
          </w:p>
        </w:tc>
        <w:tc>
          <w:tcPr>
            <w:tcW w:w="1533"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2.522.194</w:t>
            </w:r>
          </w:p>
        </w:tc>
        <w:tc>
          <w:tcPr>
            <w:tcW w:w="1565"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7.749.651</w:t>
            </w:r>
          </w:p>
        </w:tc>
        <w:tc>
          <w:tcPr>
            <w:tcW w:w="700"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307</w:t>
            </w:r>
          </w:p>
        </w:tc>
      </w:tr>
      <w:tr w:rsidR="001917BD" w:rsidRPr="001C3101" w:rsidTr="001917BD">
        <w:trPr>
          <w:trHeight w:val="555"/>
          <w:jc w:val="center"/>
        </w:trPr>
        <w:tc>
          <w:tcPr>
            <w:tcW w:w="651" w:type="dxa"/>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812</w:t>
            </w:r>
          </w:p>
        </w:tc>
        <w:tc>
          <w:tcPr>
            <w:tcW w:w="3030" w:type="dxa"/>
            <w:vAlign w:val="center"/>
            <w:hideMark/>
          </w:tcPr>
          <w:p w:rsidR="00DC40E7" w:rsidRPr="001917BD" w:rsidRDefault="000110FA" w:rsidP="000110FA">
            <w:pPr>
              <w:autoSpaceDE w:val="0"/>
              <w:autoSpaceDN w:val="0"/>
              <w:adjustRightInd w:val="0"/>
              <w:jc w:val="both"/>
              <w:rPr>
                <w:rFonts w:cstheme="minorHAnsi"/>
                <w:sz w:val="18"/>
                <w:szCs w:val="18"/>
              </w:rPr>
            </w:pPr>
            <w:r w:rsidRPr="001917BD">
              <w:rPr>
                <w:rFonts w:cstheme="minorHAnsi"/>
                <w:sz w:val="18"/>
                <w:szCs w:val="18"/>
              </w:rPr>
              <w:t>Povrati glavnice zajmova danih neprofit. organiz. građanima i kućanstvima</w:t>
            </w:r>
          </w:p>
        </w:tc>
        <w:tc>
          <w:tcPr>
            <w:tcW w:w="533" w:type="dxa"/>
            <w:noWrap/>
            <w:vAlign w:val="center"/>
          </w:tcPr>
          <w:p w:rsidR="00DC40E7" w:rsidRPr="001917BD" w:rsidRDefault="000110FA" w:rsidP="001917BD">
            <w:pPr>
              <w:autoSpaceDE w:val="0"/>
              <w:autoSpaceDN w:val="0"/>
              <w:adjustRightInd w:val="0"/>
              <w:jc w:val="center"/>
              <w:rPr>
                <w:rFonts w:cstheme="minorHAnsi"/>
                <w:sz w:val="18"/>
                <w:szCs w:val="18"/>
              </w:rPr>
            </w:pPr>
            <w:r w:rsidRPr="001917BD">
              <w:rPr>
                <w:rFonts w:cstheme="minorHAnsi"/>
                <w:sz w:val="18"/>
                <w:szCs w:val="18"/>
              </w:rPr>
              <w:t>417</w:t>
            </w:r>
          </w:p>
        </w:tc>
        <w:tc>
          <w:tcPr>
            <w:tcW w:w="1533"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549.594</w:t>
            </w:r>
          </w:p>
        </w:tc>
        <w:tc>
          <w:tcPr>
            <w:tcW w:w="1565"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545.405</w:t>
            </w:r>
          </w:p>
        </w:tc>
        <w:tc>
          <w:tcPr>
            <w:tcW w:w="700"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99</w:t>
            </w:r>
          </w:p>
        </w:tc>
      </w:tr>
      <w:tr w:rsidR="001917BD" w:rsidRPr="001C3101" w:rsidTr="001917BD">
        <w:trPr>
          <w:trHeight w:val="540"/>
          <w:jc w:val="center"/>
        </w:trPr>
        <w:tc>
          <w:tcPr>
            <w:tcW w:w="651" w:type="dxa"/>
            <w:shd w:val="clear" w:color="auto" w:fill="auto"/>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814</w:t>
            </w:r>
          </w:p>
        </w:tc>
        <w:tc>
          <w:tcPr>
            <w:tcW w:w="3030" w:type="dxa"/>
            <w:shd w:val="clear" w:color="auto" w:fill="auto"/>
            <w:noWrap/>
            <w:vAlign w:val="center"/>
            <w:hideMark/>
          </w:tcPr>
          <w:p w:rsidR="00DC40E7" w:rsidRPr="001917BD" w:rsidRDefault="000110FA" w:rsidP="000110FA">
            <w:pPr>
              <w:autoSpaceDE w:val="0"/>
              <w:autoSpaceDN w:val="0"/>
              <w:adjustRightInd w:val="0"/>
              <w:jc w:val="both"/>
              <w:rPr>
                <w:rFonts w:cstheme="minorHAnsi"/>
                <w:sz w:val="18"/>
                <w:szCs w:val="18"/>
              </w:rPr>
            </w:pPr>
            <w:r w:rsidRPr="001917BD">
              <w:rPr>
                <w:rFonts w:cstheme="minorHAnsi"/>
                <w:sz w:val="18"/>
                <w:szCs w:val="18"/>
              </w:rPr>
              <w:t>Povrati glavnice zajmova danih trgovačkim društvima u javnom sektoru</w:t>
            </w:r>
          </w:p>
        </w:tc>
        <w:tc>
          <w:tcPr>
            <w:tcW w:w="533" w:type="dxa"/>
            <w:shd w:val="clear" w:color="auto" w:fill="auto"/>
            <w:noWrap/>
            <w:vAlign w:val="center"/>
          </w:tcPr>
          <w:p w:rsidR="00DC40E7" w:rsidRPr="001917BD" w:rsidRDefault="000110FA" w:rsidP="001917BD">
            <w:pPr>
              <w:autoSpaceDE w:val="0"/>
              <w:autoSpaceDN w:val="0"/>
              <w:adjustRightInd w:val="0"/>
              <w:jc w:val="center"/>
              <w:rPr>
                <w:rFonts w:cstheme="minorHAnsi"/>
                <w:sz w:val="18"/>
                <w:szCs w:val="18"/>
              </w:rPr>
            </w:pPr>
            <w:r w:rsidRPr="001917BD">
              <w:rPr>
                <w:rFonts w:cstheme="minorHAnsi"/>
                <w:sz w:val="18"/>
                <w:szCs w:val="18"/>
              </w:rPr>
              <w:t>424</w:t>
            </w:r>
          </w:p>
        </w:tc>
        <w:tc>
          <w:tcPr>
            <w:tcW w:w="1533" w:type="dxa"/>
            <w:shd w:val="clear" w:color="auto" w:fill="auto"/>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1.300.000</w:t>
            </w:r>
          </w:p>
        </w:tc>
        <w:tc>
          <w:tcPr>
            <w:tcW w:w="1565" w:type="dxa"/>
            <w:shd w:val="clear" w:color="auto" w:fill="auto"/>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6.824.460</w:t>
            </w:r>
          </w:p>
        </w:tc>
        <w:tc>
          <w:tcPr>
            <w:tcW w:w="700" w:type="dxa"/>
            <w:shd w:val="clear" w:color="auto" w:fill="auto"/>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525</w:t>
            </w:r>
          </w:p>
        </w:tc>
      </w:tr>
      <w:tr w:rsidR="001917BD" w:rsidRPr="001C3101" w:rsidTr="001917BD">
        <w:trPr>
          <w:trHeight w:val="555"/>
          <w:jc w:val="center"/>
        </w:trPr>
        <w:tc>
          <w:tcPr>
            <w:tcW w:w="651" w:type="dxa"/>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815</w:t>
            </w:r>
          </w:p>
        </w:tc>
        <w:tc>
          <w:tcPr>
            <w:tcW w:w="3030" w:type="dxa"/>
            <w:noWrap/>
            <w:vAlign w:val="center"/>
            <w:hideMark/>
          </w:tcPr>
          <w:p w:rsidR="00DC40E7" w:rsidRPr="001917BD" w:rsidRDefault="000110FA" w:rsidP="000110FA">
            <w:pPr>
              <w:autoSpaceDE w:val="0"/>
              <w:autoSpaceDN w:val="0"/>
              <w:adjustRightInd w:val="0"/>
              <w:jc w:val="both"/>
              <w:rPr>
                <w:rFonts w:cstheme="minorHAnsi"/>
                <w:sz w:val="18"/>
                <w:szCs w:val="18"/>
              </w:rPr>
            </w:pPr>
            <w:r w:rsidRPr="001917BD">
              <w:rPr>
                <w:rFonts w:cstheme="minorHAnsi"/>
                <w:sz w:val="18"/>
                <w:szCs w:val="18"/>
              </w:rPr>
              <w:t xml:space="preserve">Povrati glavnice zajmova danih </w:t>
            </w:r>
            <w:r w:rsidR="000534AA" w:rsidRPr="001917BD">
              <w:rPr>
                <w:rFonts w:cstheme="minorHAnsi"/>
                <w:sz w:val="18"/>
                <w:szCs w:val="18"/>
              </w:rPr>
              <w:t>kreditnim i ostalim financ instit izvan javnog sektora</w:t>
            </w:r>
          </w:p>
        </w:tc>
        <w:tc>
          <w:tcPr>
            <w:tcW w:w="533" w:type="dxa"/>
            <w:noWrap/>
            <w:vAlign w:val="center"/>
          </w:tcPr>
          <w:p w:rsidR="00DC40E7" w:rsidRPr="001917BD" w:rsidRDefault="000534AA" w:rsidP="001917BD">
            <w:pPr>
              <w:autoSpaceDE w:val="0"/>
              <w:autoSpaceDN w:val="0"/>
              <w:adjustRightInd w:val="0"/>
              <w:jc w:val="center"/>
              <w:rPr>
                <w:rFonts w:cstheme="minorHAnsi"/>
                <w:sz w:val="18"/>
                <w:szCs w:val="18"/>
              </w:rPr>
            </w:pPr>
            <w:r w:rsidRPr="001917BD">
              <w:rPr>
                <w:rFonts w:cstheme="minorHAnsi"/>
                <w:sz w:val="18"/>
                <w:szCs w:val="18"/>
              </w:rPr>
              <w:t>425</w:t>
            </w:r>
          </w:p>
        </w:tc>
        <w:tc>
          <w:tcPr>
            <w:tcW w:w="1533"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672.600</w:t>
            </w:r>
          </w:p>
        </w:tc>
        <w:tc>
          <w:tcPr>
            <w:tcW w:w="1565"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379.786</w:t>
            </w:r>
          </w:p>
        </w:tc>
        <w:tc>
          <w:tcPr>
            <w:tcW w:w="700"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56</w:t>
            </w:r>
          </w:p>
        </w:tc>
      </w:tr>
      <w:tr w:rsidR="001917BD" w:rsidRPr="001C3101" w:rsidTr="001917BD">
        <w:trPr>
          <w:trHeight w:val="555"/>
          <w:jc w:val="center"/>
        </w:trPr>
        <w:tc>
          <w:tcPr>
            <w:tcW w:w="651" w:type="dxa"/>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83</w:t>
            </w:r>
          </w:p>
        </w:tc>
        <w:tc>
          <w:tcPr>
            <w:tcW w:w="3030" w:type="dxa"/>
            <w:vAlign w:val="center"/>
            <w:hideMark/>
          </w:tcPr>
          <w:p w:rsidR="00DC40E7" w:rsidRPr="001917BD" w:rsidRDefault="000534AA" w:rsidP="00270A1A">
            <w:pPr>
              <w:autoSpaceDE w:val="0"/>
              <w:autoSpaceDN w:val="0"/>
              <w:adjustRightInd w:val="0"/>
              <w:jc w:val="both"/>
              <w:rPr>
                <w:rFonts w:cstheme="minorHAnsi"/>
                <w:sz w:val="18"/>
                <w:szCs w:val="18"/>
              </w:rPr>
            </w:pPr>
            <w:r w:rsidRPr="001917BD">
              <w:rPr>
                <w:rFonts w:cstheme="minorHAnsi"/>
                <w:sz w:val="18"/>
                <w:szCs w:val="18"/>
              </w:rPr>
              <w:t>PRIMICI OD PRODAJE DIONICA I UDJELA U GLAVNICI</w:t>
            </w:r>
          </w:p>
        </w:tc>
        <w:tc>
          <w:tcPr>
            <w:tcW w:w="533" w:type="dxa"/>
            <w:noWrap/>
            <w:vAlign w:val="center"/>
          </w:tcPr>
          <w:p w:rsidR="00DC40E7" w:rsidRPr="001917BD" w:rsidRDefault="000534AA" w:rsidP="001917BD">
            <w:pPr>
              <w:autoSpaceDE w:val="0"/>
              <w:autoSpaceDN w:val="0"/>
              <w:adjustRightInd w:val="0"/>
              <w:jc w:val="center"/>
              <w:rPr>
                <w:rFonts w:cstheme="minorHAnsi"/>
                <w:sz w:val="18"/>
                <w:szCs w:val="18"/>
              </w:rPr>
            </w:pPr>
            <w:r w:rsidRPr="001917BD">
              <w:rPr>
                <w:rFonts w:cstheme="minorHAnsi"/>
                <w:sz w:val="18"/>
                <w:szCs w:val="18"/>
              </w:rPr>
              <w:t>462</w:t>
            </w:r>
          </w:p>
        </w:tc>
        <w:tc>
          <w:tcPr>
            <w:tcW w:w="1533"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106.148</w:t>
            </w:r>
          </w:p>
        </w:tc>
        <w:tc>
          <w:tcPr>
            <w:tcW w:w="1565"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18.638</w:t>
            </w:r>
          </w:p>
        </w:tc>
        <w:tc>
          <w:tcPr>
            <w:tcW w:w="700"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18</w:t>
            </w:r>
          </w:p>
        </w:tc>
      </w:tr>
      <w:tr w:rsidR="001917BD" w:rsidRPr="001C3101" w:rsidTr="001917BD">
        <w:trPr>
          <w:trHeight w:val="555"/>
          <w:jc w:val="center"/>
        </w:trPr>
        <w:tc>
          <w:tcPr>
            <w:tcW w:w="651" w:type="dxa"/>
            <w:noWrap/>
            <w:vAlign w:val="center"/>
            <w:hideMark/>
          </w:tcPr>
          <w:p w:rsidR="00DC40E7" w:rsidRPr="001917BD" w:rsidRDefault="00DC40E7" w:rsidP="001917BD">
            <w:pPr>
              <w:autoSpaceDE w:val="0"/>
              <w:autoSpaceDN w:val="0"/>
              <w:adjustRightInd w:val="0"/>
              <w:jc w:val="center"/>
              <w:rPr>
                <w:rFonts w:cstheme="minorHAnsi"/>
                <w:sz w:val="18"/>
                <w:szCs w:val="18"/>
              </w:rPr>
            </w:pPr>
            <w:r w:rsidRPr="001917BD">
              <w:rPr>
                <w:rFonts w:cstheme="minorHAnsi"/>
                <w:sz w:val="18"/>
                <w:szCs w:val="18"/>
              </w:rPr>
              <w:t>84</w:t>
            </w:r>
          </w:p>
        </w:tc>
        <w:tc>
          <w:tcPr>
            <w:tcW w:w="3030" w:type="dxa"/>
            <w:vAlign w:val="center"/>
            <w:hideMark/>
          </w:tcPr>
          <w:p w:rsidR="00DC40E7" w:rsidRPr="001917BD" w:rsidRDefault="000534AA" w:rsidP="00270A1A">
            <w:pPr>
              <w:autoSpaceDE w:val="0"/>
              <w:autoSpaceDN w:val="0"/>
              <w:adjustRightInd w:val="0"/>
              <w:jc w:val="both"/>
              <w:rPr>
                <w:rFonts w:cstheme="minorHAnsi"/>
                <w:sz w:val="18"/>
                <w:szCs w:val="18"/>
              </w:rPr>
            </w:pPr>
            <w:r w:rsidRPr="001917BD">
              <w:rPr>
                <w:rFonts w:cstheme="minorHAnsi"/>
                <w:sz w:val="18"/>
                <w:szCs w:val="18"/>
              </w:rPr>
              <w:t>PRIMICI OD ZADUŽIVANJA</w:t>
            </w:r>
          </w:p>
        </w:tc>
        <w:tc>
          <w:tcPr>
            <w:tcW w:w="533" w:type="dxa"/>
            <w:noWrap/>
            <w:vAlign w:val="center"/>
          </w:tcPr>
          <w:p w:rsidR="00DC40E7" w:rsidRPr="001917BD" w:rsidRDefault="000534AA" w:rsidP="001917BD">
            <w:pPr>
              <w:autoSpaceDE w:val="0"/>
              <w:autoSpaceDN w:val="0"/>
              <w:adjustRightInd w:val="0"/>
              <w:jc w:val="center"/>
              <w:rPr>
                <w:rFonts w:cstheme="minorHAnsi"/>
                <w:sz w:val="18"/>
                <w:szCs w:val="18"/>
              </w:rPr>
            </w:pPr>
            <w:r w:rsidRPr="001917BD">
              <w:rPr>
                <w:rFonts w:cstheme="minorHAnsi"/>
                <w:sz w:val="18"/>
                <w:szCs w:val="18"/>
              </w:rPr>
              <w:t>474</w:t>
            </w:r>
          </w:p>
        </w:tc>
        <w:tc>
          <w:tcPr>
            <w:tcW w:w="1533"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366.137.823</w:t>
            </w:r>
          </w:p>
        </w:tc>
        <w:tc>
          <w:tcPr>
            <w:tcW w:w="1565"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558.148.496</w:t>
            </w:r>
          </w:p>
        </w:tc>
        <w:tc>
          <w:tcPr>
            <w:tcW w:w="700" w:type="dxa"/>
            <w:noWrap/>
            <w:vAlign w:val="center"/>
          </w:tcPr>
          <w:p w:rsidR="00DC40E7" w:rsidRPr="001917BD" w:rsidRDefault="001917BD" w:rsidP="001917BD">
            <w:pPr>
              <w:autoSpaceDE w:val="0"/>
              <w:autoSpaceDN w:val="0"/>
              <w:adjustRightInd w:val="0"/>
              <w:jc w:val="center"/>
              <w:rPr>
                <w:rFonts w:cstheme="minorHAnsi"/>
                <w:sz w:val="18"/>
                <w:szCs w:val="18"/>
              </w:rPr>
            </w:pPr>
            <w:r w:rsidRPr="001917BD">
              <w:rPr>
                <w:rFonts w:cstheme="minorHAnsi"/>
                <w:sz w:val="18"/>
                <w:szCs w:val="18"/>
              </w:rPr>
              <w:t>152</w:t>
            </w:r>
          </w:p>
        </w:tc>
      </w:tr>
    </w:tbl>
    <w:p w:rsidR="00FA5DD5" w:rsidRPr="001C3101" w:rsidRDefault="00FA5DD5" w:rsidP="001B5FD7">
      <w:pPr>
        <w:autoSpaceDE w:val="0"/>
        <w:autoSpaceDN w:val="0"/>
        <w:adjustRightInd w:val="0"/>
        <w:spacing w:after="0" w:line="240" w:lineRule="auto"/>
        <w:jc w:val="both"/>
        <w:rPr>
          <w:rFonts w:cstheme="minorHAnsi"/>
          <w:color w:val="FF0000"/>
        </w:rPr>
      </w:pPr>
    </w:p>
    <w:p w:rsidR="00FA5DD5" w:rsidRPr="001C3101" w:rsidRDefault="00FA5DD5" w:rsidP="001B5FD7">
      <w:pPr>
        <w:autoSpaceDE w:val="0"/>
        <w:autoSpaceDN w:val="0"/>
        <w:adjustRightInd w:val="0"/>
        <w:spacing w:after="0" w:line="240" w:lineRule="auto"/>
        <w:jc w:val="both"/>
        <w:rPr>
          <w:rFonts w:cstheme="minorHAnsi"/>
          <w:color w:val="FF0000"/>
        </w:rPr>
      </w:pPr>
    </w:p>
    <w:p w:rsidR="00DE3354" w:rsidRDefault="00DE3354" w:rsidP="00DE3354">
      <w:pPr>
        <w:jc w:val="both"/>
        <w:rPr>
          <w:rFonts w:ascii="Arial" w:hAnsi="Arial" w:cs="Arial"/>
          <w:b/>
        </w:rPr>
      </w:pPr>
    </w:p>
    <w:p w:rsidR="00DE3354" w:rsidRPr="00DE3354" w:rsidRDefault="00DE3354" w:rsidP="00DE3354">
      <w:pPr>
        <w:jc w:val="both"/>
        <w:rPr>
          <w:rFonts w:cstheme="minorHAnsi"/>
        </w:rPr>
      </w:pPr>
      <w:r w:rsidRPr="00DE3354">
        <w:rPr>
          <w:rFonts w:cstheme="minorHAnsi"/>
          <w:b/>
        </w:rPr>
        <w:t>AOP 486</w:t>
      </w:r>
      <w:r w:rsidRPr="00DE3354">
        <w:rPr>
          <w:rFonts w:cstheme="minorHAnsi"/>
        </w:rPr>
        <w:t xml:space="preserve"> </w:t>
      </w:r>
    </w:p>
    <w:p w:rsidR="00DE3354" w:rsidRPr="00DE3354" w:rsidRDefault="00DE3354" w:rsidP="00DE3354">
      <w:pPr>
        <w:jc w:val="both"/>
        <w:rPr>
          <w:rFonts w:cstheme="minorHAnsi"/>
          <w:i/>
        </w:rPr>
      </w:pPr>
      <w:r w:rsidRPr="00DE3354">
        <w:rPr>
          <w:rFonts w:cstheme="minorHAnsi"/>
          <w:i/>
        </w:rPr>
        <w:t xml:space="preserve">Primljeni krediti i zajmovi od kreditnih i ostalih financijskih institucija u javnom sektoru </w:t>
      </w:r>
    </w:p>
    <w:p w:rsidR="00DE3354" w:rsidRPr="00DE3354" w:rsidRDefault="00DE3354" w:rsidP="00DE3354">
      <w:pPr>
        <w:jc w:val="both"/>
        <w:rPr>
          <w:rFonts w:cstheme="minorHAnsi"/>
        </w:rPr>
      </w:pPr>
      <w:r w:rsidRPr="00DE3354">
        <w:rPr>
          <w:rFonts w:cstheme="minorHAnsi"/>
        </w:rPr>
        <w:t xml:space="preserve">Primljeni krediti i zajmovi od kreditnih i ostalih financijskih institucija u javnom sektoru u 2018. obuhvaćaju primitke po kreditnom zaduženju u iznosu od 250.000.000,00 kuna i primljene zajmove </w:t>
      </w:r>
      <w:r w:rsidRPr="00DE3354">
        <w:rPr>
          <w:rFonts w:cstheme="minorHAnsi"/>
        </w:rPr>
        <w:lastRenderedPageBreak/>
        <w:t>po faktoringu od tuzemnih kreditnih institucija izvan javnog sektora u iznosu od 308.148.496,21 kuna  koji se odnose na:</w:t>
      </w:r>
    </w:p>
    <w:p w:rsidR="00DE3354" w:rsidRPr="00DE3354" w:rsidRDefault="00DE3354" w:rsidP="00DE3354">
      <w:pPr>
        <w:pStyle w:val="ListParagraph"/>
        <w:numPr>
          <w:ilvl w:val="0"/>
          <w:numId w:val="9"/>
        </w:numPr>
        <w:jc w:val="both"/>
        <w:rPr>
          <w:rFonts w:cstheme="minorHAnsi"/>
          <w:b/>
        </w:rPr>
      </w:pPr>
      <w:r w:rsidRPr="00DE3354">
        <w:rPr>
          <w:rFonts w:cstheme="minorHAnsi"/>
        </w:rPr>
        <w:t>Ugovor o međusobnim odnosima iz poslova otkupa potraživanja između Grada i Zagrebačke banke d.d. te Ugovori</w:t>
      </w:r>
      <w:r w:rsidR="009445A8">
        <w:rPr>
          <w:rFonts w:cstheme="minorHAnsi"/>
        </w:rPr>
        <w:t xml:space="preserve"> o</w:t>
      </w:r>
      <w:r w:rsidRPr="00DE3354">
        <w:rPr>
          <w:rFonts w:cstheme="minorHAnsi"/>
        </w:rPr>
        <w:t xml:space="preserve"> cesiji između Zagrebačke banke d.d., Zagrebačkih otpadnih voda d.o.o, Vodoopskrbe i odvodnje i Grada Zagreba u iznosu od </w:t>
      </w:r>
      <w:r w:rsidRPr="00DE3354">
        <w:rPr>
          <w:rFonts w:cstheme="minorHAnsi"/>
          <w:b/>
        </w:rPr>
        <w:t>125.347.998,14</w:t>
      </w:r>
      <w:r w:rsidRPr="00DE3354">
        <w:rPr>
          <w:rFonts w:cstheme="minorHAnsi"/>
        </w:rPr>
        <w:t xml:space="preserve"> </w:t>
      </w:r>
      <w:r w:rsidRPr="00DE3354">
        <w:rPr>
          <w:rFonts w:cstheme="minorHAnsi"/>
          <w:b/>
        </w:rPr>
        <w:t>kuna</w:t>
      </w:r>
    </w:p>
    <w:p w:rsidR="00DE3354" w:rsidRPr="00DE3354" w:rsidRDefault="00DE3354" w:rsidP="00DE3354">
      <w:pPr>
        <w:pStyle w:val="ListParagraph"/>
        <w:numPr>
          <w:ilvl w:val="0"/>
          <w:numId w:val="9"/>
        </w:numPr>
        <w:jc w:val="both"/>
        <w:rPr>
          <w:rFonts w:cstheme="minorHAnsi"/>
        </w:rPr>
      </w:pPr>
      <w:r w:rsidRPr="00DE3354">
        <w:rPr>
          <w:rFonts w:cstheme="minorHAnsi"/>
        </w:rPr>
        <w:t xml:space="preserve">Sporazum o podmirenju troškova između Erste&amp;Steiermärkische Bank d.d. i Grada Zagreba i Ugovor o cesiji – Tuzemni bezregresni sklopljen između Erste&amp;Steiermärkische Bank d.d, Zagrebačkih otpadnih voda d.o.o., Vodoopskrbe i odvodnje d.o.o. i Grada Zagreba u iznosu od </w:t>
      </w:r>
      <w:r w:rsidRPr="00DE3354">
        <w:rPr>
          <w:rFonts w:cstheme="minorHAnsi"/>
          <w:b/>
        </w:rPr>
        <w:t>83.349.178,03 kuna</w:t>
      </w:r>
    </w:p>
    <w:p w:rsidR="00DE3354" w:rsidRPr="00DE3354" w:rsidRDefault="00DE3354" w:rsidP="00DE3354">
      <w:pPr>
        <w:pStyle w:val="ListParagraph"/>
        <w:numPr>
          <w:ilvl w:val="0"/>
          <w:numId w:val="9"/>
        </w:numPr>
        <w:jc w:val="both"/>
        <w:rPr>
          <w:rFonts w:cstheme="minorHAnsi"/>
          <w:b/>
        </w:rPr>
      </w:pPr>
      <w:r w:rsidRPr="00DE3354">
        <w:rPr>
          <w:rFonts w:cstheme="minorHAnsi"/>
        </w:rPr>
        <w:t xml:space="preserve">Ugovor o cesiji – Tuzemni bezregresni između Erste&amp;Steiermärkische Bank d.d, Zagrebačkog električnog tramvaja d.o.o. i Grada Zagreba i Ugovor o ustupu potraživanja – Tuzemni bezregresni između Erste&amp;Steiermärkische Bank d.d. i Zagrebačkog električnog tramvaja d.o.o. u iznosu od </w:t>
      </w:r>
      <w:r w:rsidRPr="00DE3354">
        <w:rPr>
          <w:rFonts w:cstheme="minorHAnsi"/>
          <w:b/>
        </w:rPr>
        <w:t xml:space="preserve">99.451.320,04 kuna. </w:t>
      </w:r>
    </w:p>
    <w:p w:rsidR="00C0267C" w:rsidRDefault="00C0267C" w:rsidP="001B5FD7">
      <w:pPr>
        <w:autoSpaceDE w:val="0"/>
        <w:autoSpaceDN w:val="0"/>
        <w:adjustRightInd w:val="0"/>
        <w:spacing w:after="0" w:line="240" w:lineRule="auto"/>
        <w:jc w:val="both"/>
        <w:rPr>
          <w:rFonts w:cstheme="minorHAnsi"/>
        </w:rPr>
      </w:pPr>
    </w:p>
    <w:p w:rsidR="00C0267C" w:rsidRDefault="00C0267C" w:rsidP="001B5FD7">
      <w:pPr>
        <w:autoSpaceDE w:val="0"/>
        <w:autoSpaceDN w:val="0"/>
        <w:adjustRightInd w:val="0"/>
        <w:spacing w:after="0" w:line="240" w:lineRule="auto"/>
        <w:jc w:val="both"/>
        <w:rPr>
          <w:rFonts w:cstheme="minorHAnsi"/>
          <w:b/>
        </w:rPr>
      </w:pPr>
    </w:p>
    <w:p w:rsidR="00C0267C" w:rsidRDefault="00C0267C" w:rsidP="001B5FD7">
      <w:pPr>
        <w:autoSpaceDE w:val="0"/>
        <w:autoSpaceDN w:val="0"/>
        <w:adjustRightInd w:val="0"/>
        <w:spacing w:after="0" w:line="240" w:lineRule="auto"/>
        <w:jc w:val="both"/>
        <w:rPr>
          <w:rFonts w:cstheme="minorHAnsi"/>
          <w:b/>
        </w:rPr>
      </w:pPr>
      <w:r w:rsidRPr="00C0267C">
        <w:rPr>
          <w:rFonts w:cstheme="minorHAnsi"/>
          <w:b/>
        </w:rPr>
        <w:t xml:space="preserve">IZDACI ZA FINANCIJSKU IMOVINU I OTPLATE ZAJMOVA (AOP 518) </w:t>
      </w:r>
    </w:p>
    <w:p w:rsidR="00C0267C" w:rsidRDefault="00C0267C" w:rsidP="001B5FD7">
      <w:pPr>
        <w:autoSpaceDE w:val="0"/>
        <w:autoSpaceDN w:val="0"/>
        <w:adjustRightInd w:val="0"/>
        <w:spacing w:after="0" w:line="240" w:lineRule="auto"/>
        <w:jc w:val="both"/>
        <w:rPr>
          <w:rFonts w:cstheme="minorHAnsi"/>
        </w:rPr>
      </w:pPr>
      <w:r>
        <w:rPr>
          <w:rFonts w:cstheme="minorHAnsi"/>
        </w:rPr>
        <w:t xml:space="preserve"> </w:t>
      </w:r>
    </w:p>
    <w:p w:rsidR="008C0F41" w:rsidRDefault="00C0267C" w:rsidP="001B5FD7">
      <w:pPr>
        <w:autoSpaceDE w:val="0"/>
        <w:autoSpaceDN w:val="0"/>
        <w:adjustRightInd w:val="0"/>
        <w:spacing w:after="0" w:line="240" w:lineRule="auto"/>
        <w:jc w:val="both"/>
        <w:rPr>
          <w:rFonts w:cstheme="minorHAnsi"/>
        </w:rPr>
      </w:pPr>
      <w:r>
        <w:rPr>
          <w:rFonts w:cstheme="minorHAnsi"/>
        </w:rPr>
        <w:t>Tablica 6: Izdaci za financijsku imovinu i otplate zajmova</w:t>
      </w:r>
    </w:p>
    <w:p w:rsidR="008C0F41" w:rsidRPr="008C0F41" w:rsidRDefault="008C0F41" w:rsidP="001B5FD7">
      <w:pPr>
        <w:autoSpaceDE w:val="0"/>
        <w:autoSpaceDN w:val="0"/>
        <w:adjustRightInd w:val="0"/>
        <w:spacing w:after="0" w:line="240" w:lineRule="auto"/>
        <w:jc w:val="both"/>
        <w:rPr>
          <w:rFonts w:cstheme="minorHAnsi"/>
          <w:color w:val="FF0000"/>
        </w:rPr>
      </w:pPr>
    </w:p>
    <w:tbl>
      <w:tblPr>
        <w:tblStyle w:val="TableGrid"/>
        <w:tblW w:w="0" w:type="auto"/>
        <w:jc w:val="center"/>
        <w:tblLook w:val="04A0" w:firstRow="1" w:lastRow="0" w:firstColumn="1" w:lastColumn="0" w:noHBand="0" w:noVBand="1"/>
      </w:tblPr>
      <w:tblGrid>
        <w:gridCol w:w="651"/>
        <w:gridCol w:w="3030"/>
        <w:gridCol w:w="533"/>
        <w:gridCol w:w="1533"/>
        <w:gridCol w:w="1565"/>
        <w:gridCol w:w="700"/>
      </w:tblGrid>
      <w:tr w:rsidR="00C0267C" w:rsidRPr="00515A54" w:rsidTr="009F3D0C">
        <w:trPr>
          <w:trHeight w:val="416"/>
          <w:jc w:val="center"/>
        </w:trPr>
        <w:tc>
          <w:tcPr>
            <w:tcW w:w="651" w:type="dxa"/>
            <w:shd w:val="clear" w:color="auto" w:fill="BDD6EE" w:themeFill="accent1" w:themeFillTint="66"/>
            <w:noWrap/>
            <w:vAlign w:val="center"/>
            <w:hideMark/>
          </w:tcPr>
          <w:p w:rsidR="00C0267C" w:rsidRPr="00515A54" w:rsidRDefault="00C0267C" w:rsidP="009F3D0C">
            <w:pPr>
              <w:autoSpaceDE w:val="0"/>
              <w:autoSpaceDN w:val="0"/>
              <w:adjustRightInd w:val="0"/>
              <w:jc w:val="center"/>
              <w:rPr>
                <w:rFonts w:cstheme="minorHAnsi"/>
                <w:sz w:val="16"/>
                <w:szCs w:val="16"/>
              </w:rPr>
            </w:pPr>
            <w:r w:rsidRPr="00515A54">
              <w:rPr>
                <w:rFonts w:cstheme="minorHAnsi"/>
                <w:sz w:val="16"/>
                <w:szCs w:val="16"/>
              </w:rPr>
              <w:t>Račun</w:t>
            </w:r>
          </w:p>
        </w:tc>
        <w:tc>
          <w:tcPr>
            <w:tcW w:w="3030" w:type="dxa"/>
            <w:shd w:val="clear" w:color="auto" w:fill="BDD6EE" w:themeFill="accent1" w:themeFillTint="66"/>
            <w:noWrap/>
            <w:vAlign w:val="center"/>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OPIS</w:t>
            </w:r>
          </w:p>
        </w:tc>
        <w:tc>
          <w:tcPr>
            <w:tcW w:w="533" w:type="dxa"/>
            <w:shd w:val="clear" w:color="auto" w:fill="BDD6EE" w:themeFill="accent1" w:themeFillTint="66"/>
            <w:noWrap/>
            <w:vAlign w:val="center"/>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AOP</w:t>
            </w:r>
          </w:p>
        </w:tc>
        <w:tc>
          <w:tcPr>
            <w:tcW w:w="1533" w:type="dxa"/>
            <w:shd w:val="clear" w:color="auto" w:fill="BDD6EE" w:themeFill="accent1" w:themeFillTint="66"/>
            <w:vAlign w:val="center"/>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Ostvareno prethodne godine</w:t>
            </w:r>
          </w:p>
        </w:tc>
        <w:tc>
          <w:tcPr>
            <w:tcW w:w="1565" w:type="dxa"/>
            <w:shd w:val="clear" w:color="auto" w:fill="BDD6EE" w:themeFill="accent1" w:themeFillTint="66"/>
            <w:vAlign w:val="center"/>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Ostvareno u tekućem razdoblju</w:t>
            </w:r>
          </w:p>
        </w:tc>
        <w:tc>
          <w:tcPr>
            <w:tcW w:w="700" w:type="dxa"/>
            <w:shd w:val="clear" w:color="auto" w:fill="BDD6EE" w:themeFill="accent1" w:themeFillTint="66"/>
            <w:noWrap/>
            <w:vAlign w:val="center"/>
            <w:hideMark/>
          </w:tcPr>
          <w:p w:rsidR="00C0267C" w:rsidRPr="00515A54" w:rsidRDefault="00C0267C" w:rsidP="009F3D0C">
            <w:pPr>
              <w:autoSpaceDE w:val="0"/>
              <w:autoSpaceDN w:val="0"/>
              <w:adjustRightInd w:val="0"/>
              <w:jc w:val="center"/>
              <w:rPr>
                <w:rFonts w:cstheme="minorHAnsi"/>
                <w:sz w:val="16"/>
                <w:szCs w:val="16"/>
              </w:rPr>
            </w:pPr>
            <w:r w:rsidRPr="00515A54">
              <w:rPr>
                <w:rFonts w:cstheme="minorHAnsi"/>
                <w:sz w:val="16"/>
                <w:szCs w:val="16"/>
              </w:rPr>
              <w:t>INDEKS</w:t>
            </w:r>
          </w:p>
        </w:tc>
      </w:tr>
      <w:tr w:rsidR="00C0267C" w:rsidRPr="00515A54" w:rsidTr="009F3D0C">
        <w:trPr>
          <w:trHeight w:val="210"/>
          <w:jc w:val="center"/>
        </w:trPr>
        <w:tc>
          <w:tcPr>
            <w:tcW w:w="651" w:type="dxa"/>
            <w:shd w:val="clear" w:color="auto" w:fill="BDD6EE" w:themeFill="accent1" w:themeFillTint="66"/>
            <w:noWrap/>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1</w:t>
            </w:r>
          </w:p>
        </w:tc>
        <w:tc>
          <w:tcPr>
            <w:tcW w:w="3030" w:type="dxa"/>
            <w:shd w:val="clear" w:color="auto" w:fill="BDD6EE" w:themeFill="accent1" w:themeFillTint="66"/>
            <w:noWrap/>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2</w:t>
            </w:r>
          </w:p>
        </w:tc>
        <w:tc>
          <w:tcPr>
            <w:tcW w:w="533" w:type="dxa"/>
            <w:shd w:val="clear" w:color="auto" w:fill="BDD6EE" w:themeFill="accent1" w:themeFillTint="66"/>
            <w:noWrap/>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3</w:t>
            </w:r>
          </w:p>
        </w:tc>
        <w:tc>
          <w:tcPr>
            <w:tcW w:w="1533" w:type="dxa"/>
            <w:shd w:val="clear" w:color="auto" w:fill="BDD6EE" w:themeFill="accent1" w:themeFillTint="66"/>
            <w:noWrap/>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4</w:t>
            </w:r>
          </w:p>
        </w:tc>
        <w:tc>
          <w:tcPr>
            <w:tcW w:w="1565" w:type="dxa"/>
            <w:shd w:val="clear" w:color="auto" w:fill="BDD6EE" w:themeFill="accent1" w:themeFillTint="66"/>
            <w:noWrap/>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5</w:t>
            </w:r>
          </w:p>
        </w:tc>
        <w:tc>
          <w:tcPr>
            <w:tcW w:w="700" w:type="dxa"/>
            <w:shd w:val="clear" w:color="auto" w:fill="BDD6EE" w:themeFill="accent1" w:themeFillTint="66"/>
            <w:noWrap/>
            <w:hideMark/>
          </w:tcPr>
          <w:p w:rsidR="00C0267C" w:rsidRPr="00515A54" w:rsidRDefault="00C0267C" w:rsidP="009F3D0C">
            <w:pPr>
              <w:autoSpaceDE w:val="0"/>
              <w:autoSpaceDN w:val="0"/>
              <w:adjustRightInd w:val="0"/>
              <w:jc w:val="center"/>
              <w:rPr>
                <w:rFonts w:cstheme="minorHAnsi"/>
                <w:sz w:val="18"/>
                <w:szCs w:val="18"/>
              </w:rPr>
            </w:pPr>
            <w:r w:rsidRPr="00515A54">
              <w:rPr>
                <w:rFonts w:cstheme="minorHAnsi"/>
                <w:sz w:val="18"/>
                <w:szCs w:val="18"/>
              </w:rPr>
              <w:t>6</w:t>
            </w:r>
          </w:p>
        </w:tc>
      </w:tr>
      <w:tr w:rsidR="00C0267C" w:rsidRPr="00515A54" w:rsidTr="009A2B8A">
        <w:trPr>
          <w:trHeight w:val="555"/>
          <w:jc w:val="center"/>
        </w:trPr>
        <w:tc>
          <w:tcPr>
            <w:tcW w:w="651" w:type="dxa"/>
            <w:noWrap/>
            <w:vAlign w:val="center"/>
            <w:hideMark/>
          </w:tcPr>
          <w:p w:rsidR="00C0267C" w:rsidRPr="00515A54" w:rsidRDefault="00C0267C" w:rsidP="00270A1A">
            <w:pPr>
              <w:autoSpaceDE w:val="0"/>
              <w:autoSpaceDN w:val="0"/>
              <w:adjustRightInd w:val="0"/>
              <w:jc w:val="both"/>
              <w:rPr>
                <w:rFonts w:cstheme="minorHAnsi"/>
                <w:sz w:val="18"/>
                <w:szCs w:val="18"/>
              </w:rPr>
            </w:pPr>
            <w:r>
              <w:rPr>
                <w:rFonts w:cstheme="minorHAnsi"/>
                <w:sz w:val="18"/>
                <w:szCs w:val="18"/>
              </w:rPr>
              <w:t>5</w:t>
            </w:r>
          </w:p>
        </w:tc>
        <w:tc>
          <w:tcPr>
            <w:tcW w:w="3030" w:type="dxa"/>
            <w:noWrap/>
            <w:vAlign w:val="center"/>
            <w:hideMark/>
          </w:tcPr>
          <w:p w:rsidR="00C0267C" w:rsidRPr="00515A54" w:rsidRDefault="00C0267C" w:rsidP="00270A1A">
            <w:pPr>
              <w:autoSpaceDE w:val="0"/>
              <w:autoSpaceDN w:val="0"/>
              <w:adjustRightInd w:val="0"/>
              <w:jc w:val="both"/>
              <w:rPr>
                <w:rFonts w:cstheme="minorHAnsi"/>
                <w:sz w:val="18"/>
                <w:szCs w:val="18"/>
              </w:rPr>
            </w:pPr>
            <w:r>
              <w:rPr>
                <w:rFonts w:cstheme="minorHAnsi"/>
                <w:sz w:val="18"/>
                <w:szCs w:val="18"/>
              </w:rPr>
              <w:t>IZDACI ZA FINANCIJSKU IMOVINU I OTPLATE ZAJMOVA</w:t>
            </w:r>
          </w:p>
        </w:tc>
        <w:tc>
          <w:tcPr>
            <w:tcW w:w="533" w:type="dxa"/>
            <w:noWrap/>
            <w:vAlign w:val="center"/>
          </w:tcPr>
          <w:p w:rsidR="00C0267C" w:rsidRPr="00515A54" w:rsidRDefault="00C0267C" w:rsidP="00270A1A">
            <w:pPr>
              <w:autoSpaceDE w:val="0"/>
              <w:autoSpaceDN w:val="0"/>
              <w:adjustRightInd w:val="0"/>
              <w:jc w:val="both"/>
              <w:rPr>
                <w:rFonts w:cstheme="minorHAnsi"/>
                <w:sz w:val="18"/>
                <w:szCs w:val="18"/>
              </w:rPr>
            </w:pPr>
            <w:r>
              <w:rPr>
                <w:rFonts w:cstheme="minorHAnsi"/>
                <w:sz w:val="18"/>
                <w:szCs w:val="18"/>
              </w:rPr>
              <w:t>518</w:t>
            </w:r>
          </w:p>
        </w:tc>
        <w:tc>
          <w:tcPr>
            <w:tcW w:w="1533"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375.806.846</w:t>
            </w:r>
          </w:p>
        </w:tc>
        <w:tc>
          <w:tcPr>
            <w:tcW w:w="1565"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328.173.380</w:t>
            </w:r>
          </w:p>
        </w:tc>
        <w:tc>
          <w:tcPr>
            <w:tcW w:w="700"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87</w:t>
            </w:r>
          </w:p>
        </w:tc>
      </w:tr>
      <w:tr w:rsidR="00C0267C" w:rsidRPr="00515A54" w:rsidTr="009A2B8A">
        <w:trPr>
          <w:trHeight w:val="555"/>
          <w:jc w:val="center"/>
        </w:trPr>
        <w:tc>
          <w:tcPr>
            <w:tcW w:w="651" w:type="dxa"/>
            <w:noWrap/>
            <w:vAlign w:val="center"/>
            <w:hideMark/>
          </w:tcPr>
          <w:p w:rsidR="00C0267C" w:rsidRPr="00515A54" w:rsidRDefault="00C0267C" w:rsidP="00270A1A">
            <w:pPr>
              <w:autoSpaceDE w:val="0"/>
              <w:autoSpaceDN w:val="0"/>
              <w:adjustRightInd w:val="0"/>
              <w:jc w:val="both"/>
              <w:rPr>
                <w:rFonts w:cstheme="minorHAnsi"/>
                <w:sz w:val="18"/>
                <w:szCs w:val="18"/>
              </w:rPr>
            </w:pPr>
            <w:r>
              <w:rPr>
                <w:rFonts w:cstheme="minorHAnsi"/>
                <w:sz w:val="18"/>
                <w:szCs w:val="18"/>
              </w:rPr>
              <w:t>51</w:t>
            </w:r>
          </w:p>
        </w:tc>
        <w:tc>
          <w:tcPr>
            <w:tcW w:w="3030" w:type="dxa"/>
            <w:vAlign w:val="center"/>
            <w:hideMark/>
          </w:tcPr>
          <w:p w:rsidR="00C0267C" w:rsidRPr="00515A54" w:rsidRDefault="00C0267C" w:rsidP="00270A1A">
            <w:pPr>
              <w:autoSpaceDE w:val="0"/>
              <w:autoSpaceDN w:val="0"/>
              <w:adjustRightInd w:val="0"/>
              <w:jc w:val="both"/>
              <w:rPr>
                <w:rFonts w:cstheme="minorHAnsi"/>
                <w:sz w:val="18"/>
                <w:szCs w:val="18"/>
              </w:rPr>
            </w:pPr>
            <w:r>
              <w:rPr>
                <w:rFonts w:cstheme="minorHAnsi"/>
                <w:sz w:val="18"/>
                <w:szCs w:val="18"/>
              </w:rPr>
              <w:t>IZDACI ZA DANE ZAJMOVE I DEPOZITE</w:t>
            </w:r>
          </w:p>
        </w:tc>
        <w:tc>
          <w:tcPr>
            <w:tcW w:w="533" w:type="dxa"/>
            <w:noWrap/>
            <w:vAlign w:val="center"/>
          </w:tcPr>
          <w:p w:rsidR="00C0267C" w:rsidRPr="00515A54" w:rsidRDefault="00C0267C" w:rsidP="00270A1A">
            <w:pPr>
              <w:autoSpaceDE w:val="0"/>
              <w:autoSpaceDN w:val="0"/>
              <w:adjustRightInd w:val="0"/>
              <w:jc w:val="both"/>
              <w:rPr>
                <w:rFonts w:cstheme="minorHAnsi"/>
                <w:sz w:val="18"/>
                <w:szCs w:val="18"/>
              </w:rPr>
            </w:pPr>
            <w:r>
              <w:rPr>
                <w:rFonts w:cstheme="minorHAnsi"/>
                <w:sz w:val="18"/>
                <w:szCs w:val="18"/>
              </w:rPr>
              <w:t>519</w:t>
            </w:r>
          </w:p>
        </w:tc>
        <w:tc>
          <w:tcPr>
            <w:tcW w:w="1533"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2.913.310</w:t>
            </w:r>
          </w:p>
        </w:tc>
        <w:tc>
          <w:tcPr>
            <w:tcW w:w="1565"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0</w:t>
            </w:r>
          </w:p>
        </w:tc>
        <w:tc>
          <w:tcPr>
            <w:tcW w:w="700"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0</w:t>
            </w:r>
          </w:p>
        </w:tc>
      </w:tr>
      <w:tr w:rsidR="00C0267C" w:rsidRPr="00515A54" w:rsidTr="009A2B8A">
        <w:trPr>
          <w:trHeight w:val="555"/>
          <w:jc w:val="center"/>
        </w:trPr>
        <w:tc>
          <w:tcPr>
            <w:tcW w:w="651" w:type="dxa"/>
            <w:noWrap/>
            <w:vAlign w:val="center"/>
            <w:hideMark/>
          </w:tcPr>
          <w:p w:rsidR="00C0267C" w:rsidRPr="00515A54" w:rsidRDefault="006D3BDB" w:rsidP="006D3BDB">
            <w:pPr>
              <w:autoSpaceDE w:val="0"/>
              <w:autoSpaceDN w:val="0"/>
              <w:adjustRightInd w:val="0"/>
              <w:jc w:val="both"/>
              <w:rPr>
                <w:rFonts w:cstheme="minorHAnsi"/>
                <w:sz w:val="18"/>
                <w:szCs w:val="18"/>
              </w:rPr>
            </w:pPr>
            <w:r>
              <w:rPr>
                <w:rFonts w:cstheme="minorHAnsi"/>
                <w:sz w:val="18"/>
                <w:szCs w:val="18"/>
              </w:rPr>
              <w:t>53</w:t>
            </w:r>
          </w:p>
        </w:tc>
        <w:tc>
          <w:tcPr>
            <w:tcW w:w="3030" w:type="dxa"/>
            <w:vAlign w:val="center"/>
            <w:hideMark/>
          </w:tcPr>
          <w:p w:rsidR="00C0267C" w:rsidRPr="00515A54" w:rsidRDefault="006D3BDB" w:rsidP="006D3BDB">
            <w:pPr>
              <w:autoSpaceDE w:val="0"/>
              <w:autoSpaceDN w:val="0"/>
              <w:adjustRightInd w:val="0"/>
              <w:jc w:val="both"/>
              <w:rPr>
                <w:rFonts w:cstheme="minorHAnsi"/>
                <w:sz w:val="18"/>
                <w:szCs w:val="18"/>
              </w:rPr>
            </w:pPr>
            <w:r>
              <w:rPr>
                <w:rFonts w:cstheme="minorHAnsi"/>
                <w:sz w:val="18"/>
                <w:szCs w:val="18"/>
              </w:rPr>
              <w:t>IZDACI ZA DIONICE I UDJELI U GLAVNICI</w:t>
            </w:r>
          </w:p>
        </w:tc>
        <w:tc>
          <w:tcPr>
            <w:tcW w:w="533" w:type="dxa"/>
            <w:noWrap/>
            <w:vAlign w:val="center"/>
          </w:tcPr>
          <w:p w:rsidR="00C0267C" w:rsidRPr="00515A54" w:rsidRDefault="006D3BDB" w:rsidP="00270A1A">
            <w:pPr>
              <w:autoSpaceDE w:val="0"/>
              <w:autoSpaceDN w:val="0"/>
              <w:adjustRightInd w:val="0"/>
              <w:jc w:val="both"/>
              <w:rPr>
                <w:rFonts w:cstheme="minorHAnsi"/>
                <w:sz w:val="18"/>
                <w:szCs w:val="18"/>
              </w:rPr>
            </w:pPr>
            <w:r>
              <w:rPr>
                <w:rFonts w:cstheme="minorHAnsi"/>
                <w:sz w:val="18"/>
                <w:szCs w:val="18"/>
              </w:rPr>
              <w:t>570</w:t>
            </w:r>
          </w:p>
        </w:tc>
        <w:tc>
          <w:tcPr>
            <w:tcW w:w="1533"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0</w:t>
            </w:r>
          </w:p>
        </w:tc>
        <w:tc>
          <w:tcPr>
            <w:tcW w:w="1565"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10.200</w:t>
            </w:r>
          </w:p>
        </w:tc>
        <w:tc>
          <w:tcPr>
            <w:tcW w:w="700" w:type="dxa"/>
            <w:noWrap/>
            <w:vAlign w:val="center"/>
          </w:tcPr>
          <w:p w:rsidR="00C0267C" w:rsidRPr="00515A54" w:rsidRDefault="004C4833" w:rsidP="004C4833">
            <w:pPr>
              <w:autoSpaceDE w:val="0"/>
              <w:autoSpaceDN w:val="0"/>
              <w:adjustRightInd w:val="0"/>
              <w:jc w:val="center"/>
              <w:rPr>
                <w:rFonts w:cstheme="minorHAnsi"/>
                <w:sz w:val="18"/>
                <w:szCs w:val="18"/>
              </w:rPr>
            </w:pPr>
            <w:r>
              <w:rPr>
                <w:rFonts w:cstheme="minorHAnsi"/>
                <w:sz w:val="18"/>
                <w:szCs w:val="18"/>
              </w:rPr>
              <w:t>0</w:t>
            </w:r>
          </w:p>
        </w:tc>
      </w:tr>
      <w:tr w:rsidR="006D3BDB" w:rsidRPr="00515A54" w:rsidTr="00270A1A">
        <w:trPr>
          <w:trHeight w:val="555"/>
          <w:jc w:val="center"/>
        </w:trPr>
        <w:tc>
          <w:tcPr>
            <w:tcW w:w="651" w:type="dxa"/>
            <w:noWrap/>
            <w:vAlign w:val="center"/>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54</w:t>
            </w:r>
          </w:p>
        </w:tc>
        <w:tc>
          <w:tcPr>
            <w:tcW w:w="3030" w:type="dxa"/>
            <w:vAlign w:val="center"/>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IZDACI ZA OTPLATU GLAVNICE PRIMLJENIH KREDITA I ZAJMOVA</w:t>
            </w:r>
          </w:p>
        </w:tc>
        <w:tc>
          <w:tcPr>
            <w:tcW w:w="533" w:type="dxa"/>
            <w:noWrap/>
            <w:vAlign w:val="center"/>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583</w:t>
            </w:r>
          </w:p>
        </w:tc>
        <w:tc>
          <w:tcPr>
            <w:tcW w:w="1533" w:type="dxa"/>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372.893.536</w:t>
            </w:r>
          </w:p>
        </w:tc>
        <w:tc>
          <w:tcPr>
            <w:tcW w:w="1565" w:type="dxa"/>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328.163.180</w:t>
            </w:r>
          </w:p>
        </w:tc>
        <w:tc>
          <w:tcPr>
            <w:tcW w:w="700" w:type="dxa"/>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88</w:t>
            </w:r>
          </w:p>
        </w:tc>
      </w:tr>
      <w:tr w:rsidR="006D3BDB" w:rsidRPr="00515A54" w:rsidTr="00270A1A">
        <w:trPr>
          <w:trHeight w:val="540"/>
          <w:jc w:val="center"/>
        </w:trPr>
        <w:tc>
          <w:tcPr>
            <w:tcW w:w="651" w:type="dxa"/>
            <w:shd w:val="clear" w:color="auto" w:fill="auto"/>
            <w:noWrap/>
            <w:vAlign w:val="center"/>
          </w:tcPr>
          <w:p w:rsidR="006D3BDB" w:rsidRDefault="006D3BDB" w:rsidP="006D3BDB">
            <w:pPr>
              <w:autoSpaceDE w:val="0"/>
              <w:autoSpaceDN w:val="0"/>
              <w:adjustRightInd w:val="0"/>
              <w:jc w:val="both"/>
              <w:rPr>
                <w:rFonts w:cstheme="minorHAnsi"/>
                <w:sz w:val="18"/>
                <w:szCs w:val="18"/>
              </w:rPr>
            </w:pPr>
            <w:r>
              <w:rPr>
                <w:rFonts w:cstheme="minorHAnsi"/>
                <w:sz w:val="18"/>
                <w:szCs w:val="18"/>
              </w:rPr>
              <w:t>543</w:t>
            </w:r>
          </w:p>
        </w:tc>
        <w:tc>
          <w:tcPr>
            <w:tcW w:w="3030" w:type="dxa"/>
            <w:shd w:val="clear" w:color="auto" w:fill="auto"/>
            <w:noWrap/>
            <w:vAlign w:val="center"/>
          </w:tcPr>
          <w:p w:rsidR="006D3BDB" w:rsidRDefault="006D3BDB" w:rsidP="006D3BDB">
            <w:pPr>
              <w:autoSpaceDE w:val="0"/>
              <w:autoSpaceDN w:val="0"/>
              <w:adjustRightInd w:val="0"/>
              <w:jc w:val="both"/>
              <w:rPr>
                <w:rFonts w:cstheme="minorHAnsi"/>
                <w:sz w:val="18"/>
                <w:szCs w:val="18"/>
              </w:rPr>
            </w:pPr>
            <w:r>
              <w:rPr>
                <w:rFonts w:cstheme="minorHAnsi"/>
                <w:sz w:val="18"/>
                <w:szCs w:val="18"/>
              </w:rPr>
              <w:t>Otplata glavnice primljenih zajmova od trgovačkih društava u javnom sektoru</w:t>
            </w:r>
          </w:p>
        </w:tc>
        <w:tc>
          <w:tcPr>
            <w:tcW w:w="533" w:type="dxa"/>
            <w:shd w:val="clear" w:color="auto" w:fill="auto"/>
            <w:noWrap/>
            <w:vAlign w:val="center"/>
          </w:tcPr>
          <w:p w:rsidR="006D3BDB" w:rsidRDefault="006D3BDB" w:rsidP="006D3BDB">
            <w:pPr>
              <w:autoSpaceDE w:val="0"/>
              <w:autoSpaceDN w:val="0"/>
              <w:adjustRightInd w:val="0"/>
              <w:jc w:val="both"/>
              <w:rPr>
                <w:rFonts w:cstheme="minorHAnsi"/>
                <w:sz w:val="18"/>
                <w:szCs w:val="18"/>
              </w:rPr>
            </w:pPr>
            <w:r>
              <w:rPr>
                <w:rFonts w:cstheme="minorHAnsi"/>
                <w:sz w:val="18"/>
                <w:szCs w:val="18"/>
              </w:rPr>
              <w:t>593</w:t>
            </w:r>
          </w:p>
        </w:tc>
        <w:tc>
          <w:tcPr>
            <w:tcW w:w="1533" w:type="dxa"/>
            <w:shd w:val="clear" w:color="auto" w:fill="auto"/>
            <w:noWrap/>
            <w:vAlign w:val="center"/>
          </w:tcPr>
          <w:p w:rsidR="006D3BDB" w:rsidRDefault="004C4833" w:rsidP="004C4833">
            <w:pPr>
              <w:autoSpaceDE w:val="0"/>
              <w:autoSpaceDN w:val="0"/>
              <w:adjustRightInd w:val="0"/>
              <w:jc w:val="center"/>
              <w:rPr>
                <w:rFonts w:cstheme="minorHAnsi"/>
                <w:sz w:val="18"/>
                <w:szCs w:val="18"/>
              </w:rPr>
            </w:pPr>
            <w:r>
              <w:rPr>
                <w:rFonts w:cstheme="minorHAnsi"/>
                <w:sz w:val="18"/>
                <w:szCs w:val="18"/>
              </w:rPr>
              <w:t>0</w:t>
            </w:r>
          </w:p>
        </w:tc>
        <w:tc>
          <w:tcPr>
            <w:tcW w:w="1565" w:type="dxa"/>
            <w:shd w:val="clear" w:color="auto" w:fill="auto"/>
            <w:noWrap/>
            <w:vAlign w:val="center"/>
          </w:tcPr>
          <w:p w:rsidR="006D3BDB" w:rsidRDefault="004C4833" w:rsidP="004C4833">
            <w:pPr>
              <w:autoSpaceDE w:val="0"/>
              <w:autoSpaceDN w:val="0"/>
              <w:adjustRightInd w:val="0"/>
              <w:jc w:val="center"/>
              <w:rPr>
                <w:rFonts w:cstheme="minorHAnsi"/>
                <w:sz w:val="18"/>
                <w:szCs w:val="18"/>
              </w:rPr>
            </w:pPr>
            <w:r>
              <w:rPr>
                <w:rFonts w:cstheme="minorHAnsi"/>
                <w:sz w:val="18"/>
                <w:szCs w:val="18"/>
              </w:rPr>
              <w:t>0</w:t>
            </w:r>
          </w:p>
        </w:tc>
        <w:tc>
          <w:tcPr>
            <w:tcW w:w="700" w:type="dxa"/>
            <w:shd w:val="clear" w:color="auto" w:fill="auto"/>
            <w:noWrap/>
            <w:vAlign w:val="center"/>
          </w:tcPr>
          <w:p w:rsidR="006D3BDB" w:rsidRDefault="004C4833" w:rsidP="004C4833">
            <w:pPr>
              <w:autoSpaceDE w:val="0"/>
              <w:autoSpaceDN w:val="0"/>
              <w:adjustRightInd w:val="0"/>
              <w:jc w:val="center"/>
              <w:rPr>
                <w:rFonts w:cstheme="minorHAnsi"/>
                <w:sz w:val="18"/>
                <w:szCs w:val="18"/>
              </w:rPr>
            </w:pPr>
            <w:r>
              <w:rPr>
                <w:rFonts w:cstheme="minorHAnsi"/>
                <w:sz w:val="18"/>
                <w:szCs w:val="18"/>
              </w:rPr>
              <w:t>0</w:t>
            </w:r>
          </w:p>
        </w:tc>
      </w:tr>
      <w:tr w:rsidR="006D3BDB" w:rsidRPr="00515A54" w:rsidTr="009A2B8A">
        <w:trPr>
          <w:trHeight w:val="540"/>
          <w:jc w:val="center"/>
        </w:trPr>
        <w:tc>
          <w:tcPr>
            <w:tcW w:w="651" w:type="dxa"/>
            <w:shd w:val="clear" w:color="auto" w:fill="auto"/>
            <w:noWrap/>
            <w:vAlign w:val="center"/>
            <w:hideMark/>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544</w:t>
            </w:r>
          </w:p>
        </w:tc>
        <w:tc>
          <w:tcPr>
            <w:tcW w:w="3030" w:type="dxa"/>
            <w:shd w:val="clear" w:color="auto" w:fill="auto"/>
            <w:noWrap/>
            <w:vAlign w:val="center"/>
            <w:hideMark/>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Otplata glavnice primljenih kredita i zajmova od kreditnih i ostalih financijskih institucija</w:t>
            </w:r>
          </w:p>
        </w:tc>
        <w:tc>
          <w:tcPr>
            <w:tcW w:w="533" w:type="dxa"/>
            <w:shd w:val="clear" w:color="auto" w:fill="auto"/>
            <w:noWrap/>
            <w:vAlign w:val="center"/>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595</w:t>
            </w:r>
          </w:p>
        </w:tc>
        <w:tc>
          <w:tcPr>
            <w:tcW w:w="1533" w:type="dxa"/>
            <w:shd w:val="clear" w:color="auto" w:fill="auto"/>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364.411.774</w:t>
            </w:r>
          </w:p>
        </w:tc>
        <w:tc>
          <w:tcPr>
            <w:tcW w:w="1565" w:type="dxa"/>
            <w:shd w:val="clear" w:color="auto" w:fill="auto"/>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319.086.411</w:t>
            </w:r>
          </w:p>
        </w:tc>
        <w:tc>
          <w:tcPr>
            <w:tcW w:w="700" w:type="dxa"/>
            <w:shd w:val="clear" w:color="auto" w:fill="auto"/>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88</w:t>
            </w:r>
          </w:p>
        </w:tc>
      </w:tr>
      <w:tr w:rsidR="006D3BDB" w:rsidRPr="00515A54" w:rsidTr="009A2B8A">
        <w:trPr>
          <w:trHeight w:val="555"/>
          <w:jc w:val="center"/>
        </w:trPr>
        <w:tc>
          <w:tcPr>
            <w:tcW w:w="651" w:type="dxa"/>
            <w:noWrap/>
            <w:vAlign w:val="center"/>
            <w:hideMark/>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545</w:t>
            </w:r>
          </w:p>
        </w:tc>
        <w:tc>
          <w:tcPr>
            <w:tcW w:w="3030" w:type="dxa"/>
            <w:noWrap/>
            <w:vAlign w:val="center"/>
            <w:hideMark/>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Otplata glavnice primljenih zajmova od trgovačkih društava i obrtnika izvan JS</w:t>
            </w:r>
          </w:p>
        </w:tc>
        <w:tc>
          <w:tcPr>
            <w:tcW w:w="533" w:type="dxa"/>
            <w:noWrap/>
            <w:vAlign w:val="center"/>
          </w:tcPr>
          <w:p w:rsidR="006D3BDB" w:rsidRPr="00515A54" w:rsidRDefault="006D3BDB" w:rsidP="006D3BDB">
            <w:pPr>
              <w:autoSpaceDE w:val="0"/>
              <w:autoSpaceDN w:val="0"/>
              <w:adjustRightInd w:val="0"/>
              <w:jc w:val="both"/>
              <w:rPr>
                <w:rFonts w:cstheme="minorHAnsi"/>
                <w:sz w:val="18"/>
                <w:szCs w:val="18"/>
              </w:rPr>
            </w:pPr>
            <w:r>
              <w:rPr>
                <w:rFonts w:cstheme="minorHAnsi"/>
                <w:sz w:val="18"/>
                <w:szCs w:val="18"/>
              </w:rPr>
              <w:t>602</w:t>
            </w:r>
          </w:p>
        </w:tc>
        <w:tc>
          <w:tcPr>
            <w:tcW w:w="1533" w:type="dxa"/>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8.481.762</w:t>
            </w:r>
          </w:p>
        </w:tc>
        <w:tc>
          <w:tcPr>
            <w:tcW w:w="1565" w:type="dxa"/>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9.076.769</w:t>
            </w:r>
          </w:p>
        </w:tc>
        <w:tc>
          <w:tcPr>
            <w:tcW w:w="700" w:type="dxa"/>
            <w:noWrap/>
            <w:vAlign w:val="center"/>
          </w:tcPr>
          <w:p w:rsidR="006D3BDB" w:rsidRPr="00515A54" w:rsidRDefault="004C4833" w:rsidP="004C4833">
            <w:pPr>
              <w:autoSpaceDE w:val="0"/>
              <w:autoSpaceDN w:val="0"/>
              <w:adjustRightInd w:val="0"/>
              <w:jc w:val="center"/>
              <w:rPr>
                <w:rFonts w:cstheme="minorHAnsi"/>
                <w:sz w:val="18"/>
                <w:szCs w:val="18"/>
              </w:rPr>
            </w:pPr>
            <w:r>
              <w:rPr>
                <w:rFonts w:cstheme="minorHAnsi"/>
                <w:sz w:val="18"/>
                <w:szCs w:val="18"/>
              </w:rPr>
              <w:t>107</w:t>
            </w:r>
          </w:p>
        </w:tc>
      </w:tr>
    </w:tbl>
    <w:p w:rsidR="00FA5DD5" w:rsidRPr="008C0F41" w:rsidRDefault="00FA5DD5" w:rsidP="001B5FD7">
      <w:pPr>
        <w:autoSpaceDE w:val="0"/>
        <w:autoSpaceDN w:val="0"/>
        <w:adjustRightInd w:val="0"/>
        <w:spacing w:after="0" w:line="240" w:lineRule="auto"/>
        <w:jc w:val="both"/>
        <w:rPr>
          <w:rFonts w:cstheme="minorHAnsi"/>
          <w:color w:val="FF0000"/>
        </w:rPr>
      </w:pPr>
    </w:p>
    <w:p w:rsidR="00FA5DD5" w:rsidRDefault="00FA5DD5" w:rsidP="001B5FD7">
      <w:pPr>
        <w:autoSpaceDE w:val="0"/>
        <w:autoSpaceDN w:val="0"/>
        <w:adjustRightInd w:val="0"/>
        <w:spacing w:after="0" w:line="240" w:lineRule="auto"/>
        <w:jc w:val="both"/>
        <w:rPr>
          <w:rFonts w:cstheme="minorHAnsi"/>
          <w:color w:val="FF0000"/>
        </w:rPr>
      </w:pPr>
    </w:p>
    <w:p w:rsidR="00FA5DD5" w:rsidRPr="004C4833" w:rsidRDefault="004C4833" w:rsidP="001B5FD7">
      <w:pPr>
        <w:autoSpaceDE w:val="0"/>
        <w:autoSpaceDN w:val="0"/>
        <w:adjustRightInd w:val="0"/>
        <w:spacing w:after="0" w:line="240" w:lineRule="auto"/>
        <w:jc w:val="both"/>
        <w:rPr>
          <w:rFonts w:cstheme="minorHAnsi"/>
        </w:rPr>
      </w:pPr>
      <w:r>
        <w:rPr>
          <w:rFonts w:cstheme="minorHAnsi"/>
          <w:b/>
        </w:rPr>
        <w:t xml:space="preserve">Izdaci za dionice i udjele u glavnici (AOP 570) – </w:t>
      </w:r>
      <w:r>
        <w:rPr>
          <w:rFonts w:cstheme="minorHAnsi"/>
        </w:rPr>
        <w:t>iznos od 10.200 kn odnosi se na kupnju poslovnog udjela u trgo</w:t>
      </w:r>
      <w:r w:rsidR="00C33ED6">
        <w:rPr>
          <w:rFonts w:cstheme="minorHAnsi"/>
        </w:rPr>
        <w:t>vačkom društvu Morski lav.</w:t>
      </w:r>
    </w:p>
    <w:p w:rsidR="00FA5DD5" w:rsidRDefault="005E5FFE" w:rsidP="001B5FD7">
      <w:pPr>
        <w:autoSpaceDE w:val="0"/>
        <w:autoSpaceDN w:val="0"/>
        <w:adjustRightInd w:val="0"/>
        <w:spacing w:after="0" w:line="240" w:lineRule="auto"/>
        <w:jc w:val="both"/>
        <w:rPr>
          <w:rFonts w:cstheme="minorHAnsi"/>
        </w:rPr>
      </w:pPr>
      <w:r w:rsidRPr="005E5FFE">
        <w:rPr>
          <w:rFonts w:cstheme="minorHAnsi"/>
          <w:b/>
        </w:rPr>
        <w:t>Izdaci za otplatu glavnice primljenih kredita i zajmova (AOP 583</w:t>
      </w:r>
      <w:r>
        <w:rPr>
          <w:rFonts w:cstheme="minorHAnsi"/>
        </w:rPr>
        <w:t>) – ovdje su evidentirane otplate glavnica primljenih kredita i zajmova za:</w:t>
      </w:r>
    </w:p>
    <w:p w:rsidR="005E5FFE" w:rsidRDefault="005E5FFE" w:rsidP="005E5FFE">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Otkup potraživanja ZOV – </w:t>
      </w:r>
      <w:r w:rsidR="005F5E02">
        <w:rPr>
          <w:rFonts w:cstheme="minorHAnsi"/>
        </w:rPr>
        <w:t>116.137.823</w:t>
      </w:r>
      <w:r>
        <w:rPr>
          <w:rFonts w:cstheme="minorHAnsi"/>
        </w:rPr>
        <w:t xml:space="preserve"> kn,</w:t>
      </w:r>
    </w:p>
    <w:p w:rsidR="005E5FFE" w:rsidRDefault="005E5FFE" w:rsidP="005E5FFE">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Kupnju Gredelja – </w:t>
      </w:r>
      <w:r w:rsidR="005F5E02">
        <w:rPr>
          <w:rFonts w:cstheme="minorHAnsi"/>
        </w:rPr>
        <w:t>58.174.679</w:t>
      </w:r>
      <w:r w:rsidR="00983600">
        <w:rPr>
          <w:rFonts w:cstheme="minorHAnsi"/>
        </w:rPr>
        <w:t xml:space="preserve"> kn,</w:t>
      </w:r>
    </w:p>
    <w:p w:rsidR="005E5FFE" w:rsidRDefault="005E5FFE" w:rsidP="005E5FFE">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Kupnju Zagrepčanke – </w:t>
      </w:r>
      <w:r w:rsidR="005F5E02">
        <w:rPr>
          <w:rFonts w:cstheme="minorHAnsi"/>
        </w:rPr>
        <w:t>31.809.549</w:t>
      </w:r>
      <w:r w:rsidR="00983600">
        <w:rPr>
          <w:rFonts w:cstheme="minorHAnsi"/>
        </w:rPr>
        <w:t xml:space="preserve"> kn,</w:t>
      </w:r>
    </w:p>
    <w:p w:rsidR="005E5FFE" w:rsidRDefault="005E5FFE" w:rsidP="005E5FFE">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Kupnja Doma za stare i nemoćne Lašćina </w:t>
      </w:r>
      <w:r w:rsidR="00983600">
        <w:rPr>
          <w:rFonts w:cstheme="minorHAnsi"/>
        </w:rPr>
        <w:t>–</w:t>
      </w:r>
      <w:r>
        <w:rPr>
          <w:rFonts w:cstheme="minorHAnsi"/>
        </w:rPr>
        <w:t xml:space="preserve"> </w:t>
      </w:r>
      <w:r w:rsidR="00C8363A">
        <w:rPr>
          <w:rFonts w:cstheme="minorHAnsi"/>
        </w:rPr>
        <w:t>9.076.769</w:t>
      </w:r>
      <w:r w:rsidR="00983600">
        <w:rPr>
          <w:rFonts w:cstheme="minorHAnsi"/>
        </w:rPr>
        <w:t xml:space="preserve"> kn,</w:t>
      </w:r>
    </w:p>
    <w:p w:rsidR="005E5FFE" w:rsidRDefault="005E5FFE" w:rsidP="005E5FFE">
      <w:pPr>
        <w:pStyle w:val="ListParagraph"/>
        <w:numPr>
          <w:ilvl w:val="0"/>
          <w:numId w:val="6"/>
        </w:numPr>
        <w:autoSpaceDE w:val="0"/>
        <w:autoSpaceDN w:val="0"/>
        <w:adjustRightInd w:val="0"/>
        <w:spacing w:after="0" w:line="240" w:lineRule="auto"/>
        <w:jc w:val="both"/>
        <w:rPr>
          <w:rFonts w:cstheme="minorHAnsi"/>
        </w:rPr>
      </w:pPr>
      <w:r>
        <w:rPr>
          <w:rFonts w:cstheme="minorHAnsi"/>
        </w:rPr>
        <w:lastRenderedPageBreak/>
        <w:t>Otplatu kredita -</w:t>
      </w:r>
      <w:r w:rsidR="00C8363A">
        <w:rPr>
          <w:rFonts w:cstheme="minorHAnsi"/>
        </w:rPr>
        <w:t>112.964.360</w:t>
      </w:r>
      <w:r w:rsidR="00983600">
        <w:rPr>
          <w:rFonts w:cstheme="minorHAnsi"/>
        </w:rPr>
        <w:t xml:space="preserve"> kn.</w:t>
      </w:r>
      <w:r>
        <w:rPr>
          <w:rFonts w:cstheme="minorHAnsi"/>
        </w:rPr>
        <w:t xml:space="preserve"> </w:t>
      </w:r>
    </w:p>
    <w:p w:rsidR="00E952BD" w:rsidRPr="00C03E22" w:rsidRDefault="00E952BD" w:rsidP="00C03E22">
      <w:pPr>
        <w:autoSpaceDE w:val="0"/>
        <w:autoSpaceDN w:val="0"/>
        <w:adjustRightInd w:val="0"/>
        <w:spacing w:after="0" w:line="240" w:lineRule="auto"/>
        <w:ind w:left="360"/>
        <w:jc w:val="both"/>
        <w:rPr>
          <w:rFonts w:cstheme="minorHAnsi"/>
        </w:rPr>
      </w:pPr>
    </w:p>
    <w:p w:rsidR="00C03E22" w:rsidRPr="00610759" w:rsidRDefault="00270A1A" w:rsidP="00C03E22">
      <w:pPr>
        <w:autoSpaceDE w:val="0"/>
        <w:autoSpaceDN w:val="0"/>
        <w:adjustRightInd w:val="0"/>
        <w:spacing w:after="0" w:line="240" w:lineRule="auto"/>
        <w:jc w:val="both"/>
        <w:rPr>
          <w:rFonts w:cstheme="minorHAnsi"/>
        </w:rPr>
      </w:pPr>
      <w:bookmarkStart w:id="2" w:name="_Hlk954498"/>
      <w:r w:rsidRPr="00610759">
        <w:rPr>
          <w:rFonts w:cstheme="minorHAnsi"/>
          <w:b/>
        </w:rPr>
        <w:t>MANJAK PRIHODA I PRIMITAKA ZA POKRIĆE U SLIJEDEĆEM RAZDOBLJU (AOP 636)</w:t>
      </w:r>
      <w:r w:rsidRPr="00610759">
        <w:rPr>
          <w:rFonts w:cstheme="minorHAnsi"/>
        </w:rPr>
        <w:t xml:space="preserve"> – ukupan manjak prihoda za pokriće u slijedećem razdoblju utvrđen je u iznosu od </w:t>
      </w:r>
      <w:r w:rsidR="008B6E7D">
        <w:rPr>
          <w:rFonts w:cstheme="minorHAnsi"/>
        </w:rPr>
        <w:t>6</w:t>
      </w:r>
      <w:r w:rsidR="0008456B" w:rsidRPr="00610759">
        <w:rPr>
          <w:rFonts w:cstheme="minorHAnsi"/>
        </w:rPr>
        <w:t>28.</w:t>
      </w:r>
      <w:r w:rsidR="008B6E7D">
        <w:rPr>
          <w:rFonts w:cstheme="minorHAnsi"/>
        </w:rPr>
        <w:t>950</w:t>
      </w:r>
      <w:r w:rsidR="0008456B" w:rsidRPr="00610759">
        <w:rPr>
          <w:rFonts w:cstheme="minorHAnsi"/>
        </w:rPr>
        <w:t>.</w:t>
      </w:r>
      <w:r w:rsidR="008B6E7D">
        <w:rPr>
          <w:rFonts w:cstheme="minorHAnsi"/>
        </w:rPr>
        <w:t>23</w:t>
      </w:r>
      <w:r w:rsidR="0008456B" w:rsidRPr="00610759">
        <w:rPr>
          <w:rFonts w:cstheme="minorHAnsi"/>
        </w:rPr>
        <w:t>9</w:t>
      </w:r>
      <w:r w:rsidRPr="00610759">
        <w:rPr>
          <w:rFonts w:cstheme="minorHAnsi"/>
        </w:rPr>
        <w:t xml:space="preserve"> kn i sastoji se od:</w:t>
      </w:r>
    </w:p>
    <w:p w:rsidR="00270A1A" w:rsidRPr="00610759" w:rsidRDefault="00610759" w:rsidP="00270A1A">
      <w:pPr>
        <w:pStyle w:val="ListParagraph"/>
        <w:numPr>
          <w:ilvl w:val="0"/>
          <w:numId w:val="6"/>
        </w:numPr>
        <w:autoSpaceDE w:val="0"/>
        <w:autoSpaceDN w:val="0"/>
        <w:adjustRightInd w:val="0"/>
        <w:spacing w:after="0" w:line="240" w:lineRule="auto"/>
        <w:jc w:val="both"/>
        <w:rPr>
          <w:rFonts w:cstheme="minorHAnsi"/>
        </w:rPr>
      </w:pPr>
      <w:r w:rsidRPr="00610759">
        <w:rPr>
          <w:rFonts w:cstheme="minorHAnsi"/>
        </w:rPr>
        <w:t>Viška</w:t>
      </w:r>
      <w:r w:rsidR="00270A1A" w:rsidRPr="00610759">
        <w:rPr>
          <w:rFonts w:cstheme="minorHAnsi"/>
        </w:rPr>
        <w:t xml:space="preserve"> prihoda poslovanja (AOP 28</w:t>
      </w:r>
      <w:r w:rsidRPr="00610759">
        <w:rPr>
          <w:rFonts w:cstheme="minorHAnsi"/>
        </w:rPr>
        <w:t>2</w:t>
      </w:r>
      <w:r w:rsidR="00270A1A" w:rsidRPr="00610759">
        <w:rPr>
          <w:rFonts w:cstheme="minorHAnsi"/>
        </w:rPr>
        <w:t xml:space="preserve">) – </w:t>
      </w:r>
      <w:r w:rsidRPr="00610759">
        <w:rPr>
          <w:rFonts w:cstheme="minorHAnsi"/>
        </w:rPr>
        <w:t>490.</w:t>
      </w:r>
      <w:r w:rsidR="008B6E7D">
        <w:rPr>
          <w:rFonts w:cstheme="minorHAnsi"/>
        </w:rPr>
        <w:t>864.736</w:t>
      </w:r>
      <w:r w:rsidR="00270A1A" w:rsidRPr="00610759">
        <w:rPr>
          <w:rFonts w:cstheme="minorHAnsi"/>
        </w:rPr>
        <w:t xml:space="preserve"> kn,</w:t>
      </w:r>
    </w:p>
    <w:p w:rsidR="00270A1A" w:rsidRPr="00610759" w:rsidRDefault="00270A1A" w:rsidP="00270A1A">
      <w:pPr>
        <w:pStyle w:val="ListParagraph"/>
        <w:numPr>
          <w:ilvl w:val="0"/>
          <w:numId w:val="6"/>
        </w:numPr>
        <w:autoSpaceDE w:val="0"/>
        <w:autoSpaceDN w:val="0"/>
        <w:adjustRightInd w:val="0"/>
        <w:spacing w:after="0" w:line="240" w:lineRule="auto"/>
        <w:jc w:val="both"/>
        <w:rPr>
          <w:rFonts w:cstheme="minorHAnsi"/>
        </w:rPr>
      </w:pPr>
      <w:r w:rsidRPr="00610759">
        <w:rPr>
          <w:rFonts w:cstheme="minorHAnsi"/>
        </w:rPr>
        <w:t xml:space="preserve">Manjka prihoda od nefinancijske imovine (AOP 399) – </w:t>
      </w:r>
      <w:r w:rsidR="00610759" w:rsidRPr="00610759">
        <w:rPr>
          <w:rFonts w:cstheme="minorHAnsi"/>
        </w:rPr>
        <w:t>779.542.</w:t>
      </w:r>
      <w:r w:rsidR="008B6E7D">
        <w:rPr>
          <w:rFonts w:cstheme="minorHAnsi"/>
        </w:rPr>
        <w:t>568</w:t>
      </w:r>
      <w:r w:rsidRPr="00610759">
        <w:rPr>
          <w:rFonts w:cstheme="minorHAnsi"/>
        </w:rPr>
        <w:t xml:space="preserve"> kn,</w:t>
      </w:r>
    </w:p>
    <w:p w:rsidR="00270A1A" w:rsidRPr="00610759" w:rsidRDefault="00610759" w:rsidP="00270A1A">
      <w:pPr>
        <w:pStyle w:val="ListParagraph"/>
        <w:numPr>
          <w:ilvl w:val="0"/>
          <w:numId w:val="6"/>
        </w:numPr>
        <w:autoSpaceDE w:val="0"/>
        <w:autoSpaceDN w:val="0"/>
        <w:adjustRightInd w:val="0"/>
        <w:spacing w:after="0" w:line="240" w:lineRule="auto"/>
        <w:jc w:val="both"/>
        <w:rPr>
          <w:rFonts w:cstheme="minorHAnsi"/>
        </w:rPr>
      </w:pPr>
      <w:r w:rsidRPr="00610759">
        <w:rPr>
          <w:rFonts w:cstheme="minorHAnsi"/>
        </w:rPr>
        <w:t>Viška</w:t>
      </w:r>
      <w:r w:rsidR="00270A1A" w:rsidRPr="00610759">
        <w:rPr>
          <w:rFonts w:cstheme="minorHAnsi"/>
        </w:rPr>
        <w:t xml:space="preserve"> primitaka od financijske imovine (AOP</w:t>
      </w:r>
      <w:r w:rsidRPr="00610759">
        <w:rPr>
          <w:rFonts w:cstheme="minorHAnsi"/>
        </w:rPr>
        <w:t xml:space="preserve"> 625</w:t>
      </w:r>
      <w:r w:rsidR="00270A1A" w:rsidRPr="00610759">
        <w:rPr>
          <w:rFonts w:cstheme="minorHAnsi"/>
        </w:rPr>
        <w:t xml:space="preserve">) – </w:t>
      </w:r>
      <w:r w:rsidR="008B6E7D">
        <w:rPr>
          <w:rFonts w:cstheme="minorHAnsi"/>
        </w:rPr>
        <w:t>237.743.405</w:t>
      </w:r>
      <w:r w:rsidR="00C4321C">
        <w:rPr>
          <w:rFonts w:cstheme="minorHAnsi"/>
        </w:rPr>
        <w:t xml:space="preserve"> kn</w:t>
      </w:r>
      <w:r w:rsidR="00270A1A" w:rsidRPr="00610759">
        <w:rPr>
          <w:rFonts w:cstheme="minorHAnsi"/>
        </w:rPr>
        <w:t>,</w:t>
      </w:r>
    </w:p>
    <w:p w:rsidR="00270A1A" w:rsidRPr="00610759" w:rsidRDefault="00270A1A" w:rsidP="00270A1A">
      <w:pPr>
        <w:pStyle w:val="ListParagraph"/>
        <w:numPr>
          <w:ilvl w:val="0"/>
          <w:numId w:val="6"/>
        </w:numPr>
        <w:autoSpaceDE w:val="0"/>
        <w:autoSpaceDN w:val="0"/>
        <w:adjustRightInd w:val="0"/>
        <w:spacing w:after="0" w:line="240" w:lineRule="auto"/>
        <w:jc w:val="both"/>
        <w:rPr>
          <w:rFonts w:cstheme="minorHAnsi"/>
        </w:rPr>
      </w:pPr>
      <w:r w:rsidRPr="00610759">
        <w:rPr>
          <w:rFonts w:cstheme="minorHAnsi"/>
        </w:rPr>
        <w:t xml:space="preserve">Manjak prihoda preneseni (AOP 634) – </w:t>
      </w:r>
      <w:r w:rsidR="00610759" w:rsidRPr="00610759">
        <w:rPr>
          <w:rFonts w:cstheme="minorHAnsi"/>
        </w:rPr>
        <w:t>578.015.812</w:t>
      </w:r>
      <w:r w:rsidRPr="00610759">
        <w:rPr>
          <w:rFonts w:cstheme="minorHAnsi"/>
        </w:rPr>
        <w:t xml:space="preserve"> kn.</w:t>
      </w:r>
    </w:p>
    <w:bookmarkEnd w:id="2"/>
    <w:p w:rsidR="00C91165" w:rsidRDefault="00C91165" w:rsidP="00270A1A">
      <w:pPr>
        <w:autoSpaceDE w:val="0"/>
        <w:autoSpaceDN w:val="0"/>
        <w:adjustRightInd w:val="0"/>
        <w:spacing w:after="0" w:line="240" w:lineRule="auto"/>
        <w:jc w:val="both"/>
        <w:rPr>
          <w:rFonts w:cstheme="minorHAnsi"/>
        </w:rPr>
      </w:pPr>
    </w:p>
    <w:p w:rsidR="00270A1A" w:rsidRDefault="00C91165" w:rsidP="00270A1A">
      <w:pPr>
        <w:autoSpaceDE w:val="0"/>
        <w:autoSpaceDN w:val="0"/>
        <w:adjustRightInd w:val="0"/>
        <w:spacing w:after="0" w:line="240" w:lineRule="auto"/>
        <w:jc w:val="both"/>
        <w:rPr>
          <w:rFonts w:cstheme="minorHAnsi"/>
          <w:b/>
        </w:rPr>
      </w:pPr>
      <w:bookmarkStart w:id="3" w:name="_Hlk947796"/>
      <w:r w:rsidRPr="00C91165">
        <w:rPr>
          <w:rFonts w:cstheme="minorHAnsi"/>
          <w:b/>
        </w:rPr>
        <w:t>STANJE NOVČANIH SREDSTAVA NA KRAJU IZVJEŠTAJNOG RAZDOBLJA (AOP 641)</w:t>
      </w:r>
      <w:r>
        <w:rPr>
          <w:rFonts w:cstheme="minorHAnsi"/>
          <w:b/>
        </w:rPr>
        <w:t xml:space="preserve"> </w:t>
      </w:r>
    </w:p>
    <w:p w:rsidR="00C91165" w:rsidRPr="00C91165" w:rsidRDefault="00C91165" w:rsidP="00C91165">
      <w:pPr>
        <w:autoSpaceDE w:val="0"/>
        <w:autoSpaceDN w:val="0"/>
        <w:adjustRightInd w:val="0"/>
        <w:spacing w:after="0" w:line="240" w:lineRule="auto"/>
        <w:rPr>
          <w:rFonts w:cstheme="minorHAnsi"/>
        </w:rPr>
      </w:pPr>
      <w:r w:rsidRPr="00C91165">
        <w:rPr>
          <w:rFonts w:cstheme="minorHAnsi"/>
        </w:rPr>
        <w:t>Na kraju izvještajnog razdoblja ukupno stanje na ra</w:t>
      </w:r>
      <w:r>
        <w:rPr>
          <w:rFonts w:cstheme="minorHAnsi"/>
        </w:rPr>
        <w:t>č</w:t>
      </w:r>
      <w:r w:rsidRPr="00C91165">
        <w:rPr>
          <w:rFonts w:cstheme="minorHAnsi"/>
        </w:rPr>
        <w:t xml:space="preserve">unima i u blagajnama iznosi </w:t>
      </w:r>
      <w:r w:rsidR="00C92345">
        <w:rPr>
          <w:rFonts w:cstheme="minorHAnsi"/>
        </w:rPr>
        <w:t>37.418.345</w:t>
      </w:r>
      <w:r w:rsidRPr="00C91165">
        <w:rPr>
          <w:rFonts w:cstheme="minorHAnsi"/>
        </w:rPr>
        <w:t xml:space="preserve"> kn i</w:t>
      </w:r>
    </w:p>
    <w:p w:rsidR="00C91165" w:rsidRDefault="00C91165" w:rsidP="00C91165">
      <w:pPr>
        <w:autoSpaceDE w:val="0"/>
        <w:autoSpaceDN w:val="0"/>
        <w:adjustRightInd w:val="0"/>
        <w:spacing w:after="0" w:line="240" w:lineRule="auto"/>
        <w:jc w:val="both"/>
        <w:rPr>
          <w:rFonts w:cstheme="minorHAnsi"/>
        </w:rPr>
      </w:pPr>
      <w:r w:rsidRPr="00C91165">
        <w:rPr>
          <w:rFonts w:cstheme="minorHAnsi"/>
        </w:rPr>
        <w:t>sastoji se od stanja na slijede</w:t>
      </w:r>
      <w:r>
        <w:rPr>
          <w:rFonts w:cstheme="minorHAnsi"/>
        </w:rPr>
        <w:t>ć</w:t>
      </w:r>
      <w:r w:rsidRPr="00C91165">
        <w:rPr>
          <w:rFonts w:cstheme="minorHAnsi"/>
        </w:rPr>
        <w:t>im ra</w:t>
      </w:r>
      <w:r>
        <w:rPr>
          <w:rFonts w:cstheme="minorHAnsi"/>
        </w:rPr>
        <w:t>č</w:t>
      </w:r>
      <w:r w:rsidRPr="00C91165">
        <w:rPr>
          <w:rFonts w:cstheme="minorHAnsi"/>
        </w:rPr>
        <w:t>unima:</w:t>
      </w:r>
    </w:p>
    <w:p w:rsidR="00C91165" w:rsidRDefault="00C91165" w:rsidP="00C91165">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Redovni račun </w:t>
      </w:r>
      <w:r w:rsidR="00C8363A">
        <w:rPr>
          <w:rFonts w:cstheme="minorHAnsi"/>
        </w:rPr>
        <w:t>20.650.516</w:t>
      </w:r>
      <w:r>
        <w:rPr>
          <w:rFonts w:cstheme="minorHAnsi"/>
        </w:rPr>
        <w:t xml:space="preserve"> kn,</w:t>
      </w:r>
    </w:p>
    <w:p w:rsidR="008B7F80" w:rsidRDefault="008B7F80" w:rsidP="00C91165">
      <w:pPr>
        <w:pStyle w:val="ListParagraph"/>
        <w:numPr>
          <w:ilvl w:val="0"/>
          <w:numId w:val="6"/>
        </w:numPr>
        <w:autoSpaceDE w:val="0"/>
        <w:autoSpaceDN w:val="0"/>
        <w:adjustRightInd w:val="0"/>
        <w:spacing w:after="0" w:line="240" w:lineRule="auto"/>
        <w:jc w:val="both"/>
        <w:rPr>
          <w:rFonts w:cstheme="minorHAnsi"/>
        </w:rPr>
      </w:pPr>
      <w:r>
        <w:rPr>
          <w:rFonts w:cstheme="minorHAnsi"/>
        </w:rPr>
        <w:t>Grad Zagreb sredstva od prodaje stanova 2.</w:t>
      </w:r>
      <w:r w:rsidR="00C8363A">
        <w:rPr>
          <w:rFonts w:cstheme="minorHAnsi"/>
        </w:rPr>
        <w:t>062.282</w:t>
      </w:r>
      <w:r>
        <w:rPr>
          <w:rFonts w:cstheme="minorHAnsi"/>
        </w:rPr>
        <w:t xml:space="preserve"> kn,</w:t>
      </w:r>
    </w:p>
    <w:p w:rsidR="00C91165" w:rsidRDefault="00C91165" w:rsidP="00C91165">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Novac na računima kod inozemnih poslovnih banaka </w:t>
      </w:r>
      <w:r w:rsidR="00C8363A">
        <w:rPr>
          <w:rFonts w:cstheme="minorHAnsi"/>
        </w:rPr>
        <w:t>4.664</w:t>
      </w:r>
      <w:r>
        <w:rPr>
          <w:rFonts w:cstheme="minorHAnsi"/>
        </w:rPr>
        <w:t xml:space="preserve"> kn,</w:t>
      </w:r>
    </w:p>
    <w:p w:rsidR="00C91165" w:rsidRPr="00C91165" w:rsidRDefault="00C91165" w:rsidP="00C91165">
      <w:pPr>
        <w:pStyle w:val="ListParagraph"/>
        <w:numPr>
          <w:ilvl w:val="0"/>
          <w:numId w:val="6"/>
        </w:numPr>
        <w:autoSpaceDE w:val="0"/>
        <w:autoSpaceDN w:val="0"/>
        <w:adjustRightInd w:val="0"/>
        <w:spacing w:after="0" w:line="240" w:lineRule="auto"/>
        <w:jc w:val="both"/>
        <w:rPr>
          <w:rFonts w:cstheme="minorHAnsi"/>
        </w:rPr>
      </w:pPr>
      <w:r>
        <w:rPr>
          <w:rFonts w:cstheme="minorHAnsi"/>
        </w:rPr>
        <w:t xml:space="preserve">Novac na izdvojenim računima </w:t>
      </w:r>
      <w:r w:rsidR="00C8363A">
        <w:rPr>
          <w:rFonts w:cstheme="minorHAnsi"/>
        </w:rPr>
        <w:t>14.700.883</w:t>
      </w:r>
      <w:r w:rsidR="008B7F80">
        <w:rPr>
          <w:rFonts w:cstheme="minorHAnsi"/>
        </w:rPr>
        <w:t xml:space="preserve"> kn.</w:t>
      </w:r>
    </w:p>
    <w:bookmarkEnd w:id="3"/>
    <w:p w:rsidR="00FA5DD5" w:rsidRDefault="00FA5DD5" w:rsidP="001B5FD7">
      <w:pPr>
        <w:autoSpaceDE w:val="0"/>
        <w:autoSpaceDN w:val="0"/>
        <w:adjustRightInd w:val="0"/>
        <w:spacing w:after="0" w:line="240" w:lineRule="auto"/>
        <w:jc w:val="both"/>
        <w:rPr>
          <w:rFonts w:cstheme="minorHAnsi"/>
          <w:color w:val="FF0000"/>
        </w:rPr>
      </w:pPr>
    </w:p>
    <w:p w:rsidR="005F51CA" w:rsidRDefault="005F51CA" w:rsidP="001B5FD7">
      <w:pPr>
        <w:autoSpaceDE w:val="0"/>
        <w:autoSpaceDN w:val="0"/>
        <w:adjustRightInd w:val="0"/>
        <w:spacing w:after="0" w:line="240" w:lineRule="auto"/>
        <w:jc w:val="both"/>
        <w:rPr>
          <w:rFonts w:cstheme="minorHAnsi"/>
          <w:sz w:val="28"/>
          <w:szCs w:val="28"/>
        </w:rPr>
      </w:pPr>
    </w:p>
    <w:p w:rsidR="001D16D4" w:rsidRDefault="001D16D4" w:rsidP="001B5FD7">
      <w:pPr>
        <w:autoSpaceDE w:val="0"/>
        <w:autoSpaceDN w:val="0"/>
        <w:adjustRightInd w:val="0"/>
        <w:spacing w:after="0" w:line="240" w:lineRule="auto"/>
        <w:jc w:val="both"/>
        <w:rPr>
          <w:rFonts w:cstheme="minorHAnsi"/>
          <w:sz w:val="28"/>
          <w:szCs w:val="28"/>
        </w:rPr>
      </w:pPr>
      <w:r>
        <w:rPr>
          <w:rFonts w:cstheme="minorHAnsi"/>
          <w:sz w:val="28"/>
          <w:szCs w:val="28"/>
        </w:rPr>
        <w:t>IZVJEŠTAJ RAS FUNKCIJSKI</w:t>
      </w:r>
    </w:p>
    <w:p w:rsidR="001D16D4" w:rsidRPr="001D16D4" w:rsidRDefault="001D16D4" w:rsidP="001B5FD7">
      <w:pPr>
        <w:autoSpaceDE w:val="0"/>
        <w:autoSpaceDN w:val="0"/>
        <w:adjustRightInd w:val="0"/>
        <w:spacing w:after="0" w:line="240" w:lineRule="auto"/>
        <w:jc w:val="both"/>
        <w:rPr>
          <w:rFonts w:cstheme="minorHAnsi"/>
        </w:rPr>
      </w:pPr>
      <w:r w:rsidRPr="001D16D4">
        <w:rPr>
          <w:rFonts w:cstheme="minorHAnsi"/>
        </w:rPr>
        <w:t xml:space="preserve">Ukupni rashodi po funkcijskim klasifikacijskim oznakama </w:t>
      </w:r>
      <w:r>
        <w:rPr>
          <w:rFonts w:cstheme="minorHAnsi"/>
        </w:rPr>
        <w:t xml:space="preserve">iznose </w:t>
      </w:r>
      <w:r w:rsidR="00AE7C96">
        <w:rPr>
          <w:rFonts w:cstheme="minorHAnsi"/>
        </w:rPr>
        <w:t>5.455.170.523</w:t>
      </w:r>
      <w:r>
        <w:rPr>
          <w:rFonts w:cstheme="minorHAnsi"/>
        </w:rPr>
        <w:t xml:space="preserve"> kn od kojih se  najveći dio odnosi na funkciju 06 – Unapređenje stanovanja i zajednice – 1.</w:t>
      </w:r>
      <w:r w:rsidR="00DA1A0D">
        <w:rPr>
          <w:rFonts w:cstheme="minorHAnsi"/>
        </w:rPr>
        <w:t>427.296.116</w:t>
      </w:r>
      <w:r>
        <w:rPr>
          <w:rFonts w:cstheme="minorHAnsi"/>
        </w:rPr>
        <w:t xml:space="preserve"> kn. </w:t>
      </w:r>
    </w:p>
    <w:p w:rsidR="009F3D0C" w:rsidRDefault="009F3D0C" w:rsidP="001B5FD7">
      <w:pPr>
        <w:autoSpaceDE w:val="0"/>
        <w:autoSpaceDN w:val="0"/>
        <w:adjustRightInd w:val="0"/>
        <w:spacing w:after="0" w:line="240" w:lineRule="auto"/>
        <w:jc w:val="both"/>
        <w:rPr>
          <w:rFonts w:cstheme="minorHAnsi"/>
          <w:sz w:val="28"/>
          <w:szCs w:val="28"/>
        </w:rPr>
      </w:pPr>
    </w:p>
    <w:p w:rsidR="009F3D0C" w:rsidRDefault="009F3D0C" w:rsidP="001B5FD7">
      <w:pPr>
        <w:autoSpaceDE w:val="0"/>
        <w:autoSpaceDN w:val="0"/>
        <w:adjustRightInd w:val="0"/>
        <w:spacing w:after="0" w:line="240" w:lineRule="auto"/>
        <w:jc w:val="both"/>
        <w:rPr>
          <w:rFonts w:cstheme="minorHAnsi"/>
          <w:sz w:val="28"/>
          <w:szCs w:val="28"/>
        </w:rPr>
      </w:pPr>
    </w:p>
    <w:p w:rsidR="00FA5DD5" w:rsidRDefault="00FA5DD5" w:rsidP="001B5FD7">
      <w:pPr>
        <w:autoSpaceDE w:val="0"/>
        <w:autoSpaceDN w:val="0"/>
        <w:adjustRightInd w:val="0"/>
        <w:spacing w:after="0" w:line="240" w:lineRule="auto"/>
        <w:jc w:val="both"/>
        <w:rPr>
          <w:rFonts w:cstheme="minorHAnsi"/>
          <w:sz w:val="28"/>
          <w:szCs w:val="28"/>
        </w:rPr>
      </w:pPr>
      <w:r w:rsidRPr="00FA5DD5">
        <w:rPr>
          <w:rFonts w:cstheme="minorHAnsi"/>
          <w:sz w:val="28"/>
          <w:szCs w:val="28"/>
        </w:rPr>
        <w:t>IZVJEŠTAJ O OBVEZAMA</w:t>
      </w:r>
    </w:p>
    <w:p w:rsidR="00FA5DD5" w:rsidRDefault="00FA5DD5" w:rsidP="001B5FD7">
      <w:pPr>
        <w:autoSpaceDE w:val="0"/>
        <w:autoSpaceDN w:val="0"/>
        <w:adjustRightInd w:val="0"/>
        <w:spacing w:after="0" w:line="240" w:lineRule="auto"/>
        <w:jc w:val="both"/>
        <w:rPr>
          <w:rFonts w:cstheme="minorHAnsi"/>
          <w:sz w:val="28"/>
          <w:szCs w:val="28"/>
        </w:rPr>
      </w:pPr>
    </w:p>
    <w:p w:rsidR="00FA5DD5" w:rsidRDefault="00FA5DD5" w:rsidP="001B5FD7">
      <w:pPr>
        <w:autoSpaceDE w:val="0"/>
        <w:autoSpaceDN w:val="0"/>
        <w:adjustRightInd w:val="0"/>
        <w:spacing w:after="0" w:line="240" w:lineRule="auto"/>
        <w:jc w:val="both"/>
        <w:rPr>
          <w:rFonts w:cstheme="minorHAnsi"/>
        </w:rPr>
      </w:pPr>
      <w:r>
        <w:rPr>
          <w:rFonts w:cstheme="minorHAnsi"/>
        </w:rPr>
        <w:t xml:space="preserve">U izvještaju o obvezama iskazuju se ukupne obveze Grada </w:t>
      </w:r>
      <w:r w:rsidR="0064340F">
        <w:rPr>
          <w:rFonts w:cstheme="minorHAnsi"/>
        </w:rPr>
        <w:t>Zagreba na dan 31. prosinca 2018</w:t>
      </w:r>
      <w:r>
        <w:rPr>
          <w:rFonts w:cstheme="minorHAnsi"/>
        </w:rPr>
        <w:t>. godine</w:t>
      </w:r>
      <w:r w:rsidR="0090550D">
        <w:rPr>
          <w:rFonts w:cstheme="minorHAnsi"/>
        </w:rPr>
        <w:t>. Stanje obveza na kraju izvještajnog razdoblja (AOP 036) iznose 2.</w:t>
      </w:r>
      <w:r w:rsidR="0064340F">
        <w:rPr>
          <w:rFonts w:cstheme="minorHAnsi"/>
        </w:rPr>
        <w:t>606.957.51</w:t>
      </w:r>
      <w:r w:rsidR="00C4321C">
        <w:rPr>
          <w:rFonts w:cstheme="minorHAnsi"/>
        </w:rPr>
        <w:t>5</w:t>
      </w:r>
      <w:r w:rsidR="0090550D">
        <w:rPr>
          <w:rFonts w:cstheme="minorHAnsi"/>
        </w:rPr>
        <w:t xml:space="preserve"> kn od čega su dospjele obveze (AOP 037) </w:t>
      </w:r>
      <w:r w:rsidR="0064340F">
        <w:rPr>
          <w:rFonts w:cstheme="minorHAnsi"/>
        </w:rPr>
        <w:t>153.081.253</w:t>
      </w:r>
      <w:r w:rsidR="0090550D">
        <w:rPr>
          <w:rFonts w:cstheme="minorHAnsi"/>
        </w:rPr>
        <w:t xml:space="preserve"> kn, a nedospjele (AOP 090) 2.</w:t>
      </w:r>
      <w:r w:rsidR="0064340F">
        <w:rPr>
          <w:rFonts w:cstheme="minorHAnsi"/>
        </w:rPr>
        <w:t>453.876.26</w:t>
      </w:r>
      <w:r w:rsidR="00C4321C">
        <w:rPr>
          <w:rFonts w:cstheme="minorHAnsi"/>
        </w:rPr>
        <w:t>2</w:t>
      </w:r>
      <w:r w:rsidR="0090550D">
        <w:rPr>
          <w:rFonts w:cstheme="minorHAnsi"/>
        </w:rPr>
        <w:t xml:space="preserve"> kn.</w:t>
      </w:r>
    </w:p>
    <w:p w:rsidR="0090550D" w:rsidRDefault="0090550D" w:rsidP="001B5FD7">
      <w:pPr>
        <w:autoSpaceDE w:val="0"/>
        <w:autoSpaceDN w:val="0"/>
        <w:adjustRightInd w:val="0"/>
        <w:spacing w:after="0" w:line="240" w:lineRule="auto"/>
        <w:jc w:val="both"/>
        <w:rPr>
          <w:rFonts w:cstheme="minorHAnsi"/>
        </w:rPr>
      </w:pPr>
      <w:r>
        <w:rPr>
          <w:rFonts w:cstheme="minorHAnsi"/>
        </w:rPr>
        <w:t xml:space="preserve">Ukupne obveze su za </w:t>
      </w:r>
      <w:r w:rsidR="0064340F">
        <w:rPr>
          <w:rFonts w:cstheme="minorHAnsi"/>
        </w:rPr>
        <w:t>266.172.72</w:t>
      </w:r>
      <w:r w:rsidR="00C4321C">
        <w:rPr>
          <w:rFonts w:cstheme="minorHAnsi"/>
        </w:rPr>
        <w:t>9</w:t>
      </w:r>
      <w:r>
        <w:rPr>
          <w:rFonts w:cstheme="minorHAnsi"/>
        </w:rPr>
        <w:t xml:space="preserve"> kn veće</w:t>
      </w:r>
      <w:r w:rsidR="0064340F">
        <w:rPr>
          <w:rFonts w:cstheme="minorHAnsi"/>
        </w:rPr>
        <w:t>, a dospjele obveze za 72.957.571 kn veće</w:t>
      </w:r>
      <w:r>
        <w:rPr>
          <w:rFonts w:cstheme="minorHAnsi"/>
        </w:rPr>
        <w:t xml:space="preserve"> u odnosu na 31.12.201</w:t>
      </w:r>
      <w:r w:rsidR="0064340F">
        <w:rPr>
          <w:rFonts w:cstheme="minorHAnsi"/>
        </w:rPr>
        <w:t>7</w:t>
      </w:r>
      <w:r>
        <w:rPr>
          <w:rFonts w:cstheme="minorHAnsi"/>
        </w:rPr>
        <w:t>. godine</w:t>
      </w:r>
    </w:p>
    <w:p w:rsidR="0090550D" w:rsidRPr="00A5321A" w:rsidRDefault="006D55D2" w:rsidP="001B5FD7">
      <w:pPr>
        <w:autoSpaceDE w:val="0"/>
        <w:autoSpaceDN w:val="0"/>
        <w:adjustRightInd w:val="0"/>
        <w:spacing w:after="0" w:line="240" w:lineRule="auto"/>
        <w:jc w:val="both"/>
        <w:rPr>
          <w:rFonts w:cstheme="minorHAnsi"/>
          <w:b/>
        </w:rPr>
      </w:pPr>
      <w:r w:rsidRPr="00A5321A">
        <w:rPr>
          <w:rFonts w:cstheme="minorHAnsi"/>
          <w:b/>
        </w:rPr>
        <w:t>Dospjele obveze</w:t>
      </w:r>
      <w:r w:rsidR="00A5321A" w:rsidRPr="00A5321A">
        <w:rPr>
          <w:rFonts w:cstheme="minorHAnsi"/>
          <w:b/>
        </w:rPr>
        <w:t xml:space="preserve"> </w:t>
      </w:r>
      <w:r w:rsidR="0064340F">
        <w:rPr>
          <w:rFonts w:cstheme="minorHAnsi"/>
          <w:b/>
        </w:rPr>
        <w:t>153.081.253</w:t>
      </w:r>
      <w:r w:rsidR="00A5321A" w:rsidRPr="00A5321A">
        <w:rPr>
          <w:rFonts w:cstheme="minorHAnsi"/>
          <w:b/>
        </w:rPr>
        <w:t xml:space="preserve"> kn</w:t>
      </w:r>
      <w:r w:rsidRPr="00A5321A">
        <w:rPr>
          <w:rFonts w:cstheme="minorHAnsi"/>
          <w:b/>
        </w:rPr>
        <w:t>:</w:t>
      </w:r>
    </w:p>
    <w:p w:rsidR="006D55D2" w:rsidRPr="006D55D2" w:rsidRDefault="006D55D2" w:rsidP="001B5FD7">
      <w:pPr>
        <w:autoSpaceDE w:val="0"/>
        <w:autoSpaceDN w:val="0"/>
        <w:adjustRightInd w:val="0"/>
        <w:spacing w:after="0" w:line="240" w:lineRule="auto"/>
        <w:jc w:val="both"/>
        <w:rPr>
          <w:rFonts w:cstheme="minorHAnsi"/>
          <w:u w:val="single"/>
        </w:rPr>
      </w:pPr>
      <w:r w:rsidRPr="006D55D2">
        <w:rPr>
          <w:rFonts w:cstheme="minorHAnsi"/>
          <w:u w:val="single"/>
        </w:rPr>
        <w:t xml:space="preserve">Prekoračenje od 1-60 dana iznosi </w:t>
      </w:r>
      <w:r w:rsidR="00F12458">
        <w:rPr>
          <w:rFonts w:cstheme="minorHAnsi"/>
          <w:u w:val="single"/>
        </w:rPr>
        <w:t>145.762.161</w:t>
      </w:r>
      <w:r w:rsidRPr="006D55D2">
        <w:rPr>
          <w:rFonts w:cstheme="minorHAnsi"/>
          <w:u w:val="single"/>
        </w:rPr>
        <w:t xml:space="preserve"> kn</w:t>
      </w:r>
    </w:p>
    <w:p w:rsidR="006D55D2" w:rsidRDefault="006D55D2"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Međusobne obveze proračunskih korisnika – </w:t>
      </w:r>
      <w:r w:rsidR="00F12458">
        <w:rPr>
          <w:rFonts w:cstheme="minorHAnsi"/>
        </w:rPr>
        <w:t>4.079.215</w:t>
      </w:r>
      <w:r>
        <w:rPr>
          <w:rFonts w:cstheme="minorHAnsi"/>
        </w:rPr>
        <w:t xml:space="preserve"> kn,</w:t>
      </w:r>
    </w:p>
    <w:p w:rsidR="00F12458" w:rsidRDefault="00F1245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231 – obveze za zaposlene – 775 kn,</w:t>
      </w:r>
    </w:p>
    <w:p w:rsidR="006D55D2" w:rsidRDefault="006D55D2"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232 – obveze za materijalne rashode – </w:t>
      </w:r>
      <w:r w:rsidR="00F12458">
        <w:rPr>
          <w:rFonts w:cstheme="minorHAnsi"/>
        </w:rPr>
        <w:t>93.515.390</w:t>
      </w:r>
      <w:r>
        <w:rPr>
          <w:rFonts w:cstheme="minorHAnsi"/>
        </w:rPr>
        <w:t xml:space="preserve"> kn,</w:t>
      </w:r>
    </w:p>
    <w:p w:rsidR="006D55D2" w:rsidRDefault="006D55D2"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234 – obveze za financijske rashode – </w:t>
      </w:r>
      <w:r w:rsidR="00F12458">
        <w:rPr>
          <w:rFonts w:cstheme="minorHAnsi"/>
        </w:rPr>
        <w:t>77.875</w:t>
      </w:r>
      <w:r>
        <w:rPr>
          <w:rFonts w:cstheme="minorHAnsi"/>
        </w:rPr>
        <w:t xml:space="preserve"> kn,</w:t>
      </w:r>
    </w:p>
    <w:p w:rsidR="00F12458" w:rsidRPr="00F259A8" w:rsidRDefault="00F1245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235 – obveze za subvencije – 12.016.900 kn,</w:t>
      </w:r>
    </w:p>
    <w:p w:rsidR="006D55D2" w:rsidRDefault="006D55D2"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237 – obveze za naknade građanima i kućanstvima </w:t>
      </w:r>
      <w:r w:rsidR="00F259A8">
        <w:rPr>
          <w:rFonts w:cstheme="minorHAnsi"/>
        </w:rPr>
        <w:t>–</w:t>
      </w:r>
      <w:r>
        <w:rPr>
          <w:rFonts w:cstheme="minorHAnsi"/>
        </w:rPr>
        <w:t xml:space="preserve"> </w:t>
      </w:r>
      <w:r w:rsidR="00F12458">
        <w:rPr>
          <w:rFonts w:cstheme="minorHAnsi"/>
        </w:rPr>
        <w:t>14.033.262</w:t>
      </w:r>
      <w:r w:rsidR="00F259A8">
        <w:rPr>
          <w:rFonts w:cstheme="minorHAnsi"/>
        </w:rPr>
        <w:t xml:space="preserve"> kn,</w:t>
      </w:r>
    </w:p>
    <w:p w:rsidR="00F259A8" w:rsidRDefault="00F259A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238 – obveze za kazne, naknade šteta i kapitalne pomoći – </w:t>
      </w:r>
      <w:r w:rsidR="00F12458">
        <w:rPr>
          <w:rFonts w:cstheme="minorHAnsi"/>
        </w:rPr>
        <w:t>205.370</w:t>
      </w:r>
      <w:r>
        <w:rPr>
          <w:rFonts w:cstheme="minorHAnsi"/>
        </w:rPr>
        <w:t xml:space="preserve"> kn,</w:t>
      </w:r>
    </w:p>
    <w:p w:rsidR="00F259A8" w:rsidRDefault="00F259A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239 – ostale tekuće obveze – </w:t>
      </w:r>
      <w:r w:rsidR="00F12458">
        <w:rPr>
          <w:rFonts w:cstheme="minorHAnsi"/>
        </w:rPr>
        <w:t>77.520</w:t>
      </w:r>
      <w:r>
        <w:rPr>
          <w:rFonts w:cstheme="minorHAnsi"/>
        </w:rPr>
        <w:t xml:space="preserve"> kn,</w:t>
      </w:r>
    </w:p>
    <w:p w:rsidR="00F259A8" w:rsidRDefault="00F259A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24 – obveze za nabavu nefinancijske imovine – </w:t>
      </w:r>
      <w:r w:rsidR="00F12458">
        <w:rPr>
          <w:rFonts w:cstheme="minorHAnsi"/>
        </w:rPr>
        <w:t>21.755.854</w:t>
      </w:r>
      <w:r>
        <w:rPr>
          <w:rFonts w:cstheme="minorHAnsi"/>
        </w:rPr>
        <w:t xml:space="preserve"> kn.</w:t>
      </w:r>
    </w:p>
    <w:p w:rsidR="00F259A8" w:rsidRDefault="00F259A8" w:rsidP="001B5FD7">
      <w:pPr>
        <w:autoSpaceDE w:val="0"/>
        <w:autoSpaceDN w:val="0"/>
        <w:adjustRightInd w:val="0"/>
        <w:spacing w:after="0" w:line="240" w:lineRule="auto"/>
        <w:jc w:val="both"/>
        <w:rPr>
          <w:rFonts w:cstheme="minorHAnsi"/>
        </w:rPr>
      </w:pPr>
    </w:p>
    <w:p w:rsidR="00F259A8" w:rsidRDefault="00F259A8" w:rsidP="001B5FD7">
      <w:pPr>
        <w:autoSpaceDE w:val="0"/>
        <w:autoSpaceDN w:val="0"/>
        <w:adjustRightInd w:val="0"/>
        <w:spacing w:after="0" w:line="240" w:lineRule="auto"/>
        <w:jc w:val="both"/>
        <w:rPr>
          <w:rFonts w:cstheme="minorHAnsi"/>
          <w:u w:val="single"/>
        </w:rPr>
      </w:pPr>
      <w:r w:rsidRPr="00F259A8">
        <w:rPr>
          <w:rFonts w:cstheme="minorHAnsi"/>
          <w:u w:val="single"/>
        </w:rPr>
        <w:t xml:space="preserve">Prekoračenje od 61-180 dana iznosi </w:t>
      </w:r>
      <w:r w:rsidR="00F12458">
        <w:rPr>
          <w:rFonts w:cstheme="minorHAnsi"/>
          <w:u w:val="single"/>
        </w:rPr>
        <w:t>3.347.225</w:t>
      </w:r>
      <w:r w:rsidRPr="00F259A8">
        <w:rPr>
          <w:rFonts w:cstheme="minorHAnsi"/>
          <w:u w:val="single"/>
        </w:rPr>
        <w:t xml:space="preserve"> kn</w:t>
      </w:r>
    </w:p>
    <w:p w:rsidR="00F259A8" w:rsidRPr="00F259A8" w:rsidRDefault="00F259A8"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Međusobne obveze proračunskih korisnika – </w:t>
      </w:r>
      <w:r w:rsidR="00F12458">
        <w:rPr>
          <w:rFonts w:cstheme="minorHAnsi"/>
        </w:rPr>
        <w:t>13.163</w:t>
      </w:r>
      <w:r>
        <w:rPr>
          <w:rFonts w:cstheme="minorHAnsi"/>
        </w:rPr>
        <w:t xml:space="preserve"> kn,</w:t>
      </w:r>
    </w:p>
    <w:p w:rsidR="00F259A8" w:rsidRPr="00F259A8" w:rsidRDefault="00F259A8"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232 – obveze za materijalne rashode –</w:t>
      </w:r>
      <w:r w:rsidR="00F12458">
        <w:rPr>
          <w:rFonts w:cstheme="minorHAnsi"/>
        </w:rPr>
        <w:t>3.310.393</w:t>
      </w:r>
      <w:r>
        <w:rPr>
          <w:rFonts w:cstheme="minorHAnsi"/>
        </w:rPr>
        <w:t xml:space="preserve"> kn,</w:t>
      </w:r>
    </w:p>
    <w:p w:rsidR="00F259A8" w:rsidRPr="00F259A8" w:rsidRDefault="00F259A8"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24 – obveze za nabavu nefinancijske imovine – </w:t>
      </w:r>
      <w:r w:rsidR="00F12458">
        <w:rPr>
          <w:rFonts w:cstheme="minorHAnsi"/>
        </w:rPr>
        <w:t>23.669</w:t>
      </w:r>
      <w:r>
        <w:rPr>
          <w:rFonts w:cstheme="minorHAnsi"/>
        </w:rPr>
        <w:t xml:space="preserve"> kn.</w:t>
      </w:r>
    </w:p>
    <w:p w:rsidR="00F259A8" w:rsidRDefault="00F259A8" w:rsidP="001B5FD7">
      <w:pPr>
        <w:autoSpaceDE w:val="0"/>
        <w:autoSpaceDN w:val="0"/>
        <w:adjustRightInd w:val="0"/>
        <w:spacing w:after="0" w:line="240" w:lineRule="auto"/>
        <w:jc w:val="both"/>
        <w:rPr>
          <w:rFonts w:cstheme="minorHAnsi"/>
          <w:u w:val="single"/>
        </w:rPr>
      </w:pPr>
    </w:p>
    <w:p w:rsidR="00A5321A" w:rsidRPr="00F12458" w:rsidRDefault="00F259A8" w:rsidP="00F12458">
      <w:pPr>
        <w:autoSpaceDE w:val="0"/>
        <w:autoSpaceDN w:val="0"/>
        <w:adjustRightInd w:val="0"/>
        <w:spacing w:after="0" w:line="240" w:lineRule="auto"/>
        <w:jc w:val="both"/>
        <w:rPr>
          <w:rFonts w:cstheme="minorHAnsi"/>
          <w:u w:val="single"/>
        </w:rPr>
      </w:pPr>
      <w:r>
        <w:rPr>
          <w:rFonts w:cstheme="minorHAnsi"/>
          <w:u w:val="single"/>
        </w:rPr>
        <w:t xml:space="preserve">Prekoračenje od 181 – 360 dana iznosi </w:t>
      </w:r>
      <w:r w:rsidR="00F12458">
        <w:rPr>
          <w:rFonts w:cstheme="minorHAnsi"/>
          <w:u w:val="single"/>
        </w:rPr>
        <w:t>995.016</w:t>
      </w:r>
      <w:r w:rsidR="00A5321A">
        <w:rPr>
          <w:rFonts w:cstheme="minorHAnsi"/>
          <w:u w:val="single"/>
        </w:rPr>
        <w:t xml:space="preserve"> kn</w:t>
      </w:r>
    </w:p>
    <w:p w:rsidR="00A5321A" w:rsidRPr="00A5321A" w:rsidRDefault="00A5321A"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232 – obveze za materijalne rashode – </w:t>
      </w:r>
      <w:r w:rsidR="00F12458">
        <w:rPr>
          <w:rFonts w:cstheme="minorHAnsi"/>
        </w:rPr>
        <w:t>96.440</w:t>
      </w:r>
      <w:r>
        <w:rPr>
          <w:rFonts w:cstheme="minorHAnsi"/>
        </w:rPr>
        <w:t xml:space="preserve"> kn,</w:t>
      </w:r>
    </w:p>
    <w:p w:rsidR="00A5321A" w:rsidRPr="00A5321A" w:rsidRDefault="00A5321A"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237 – obveze za naknade građanima i kućanstvima – </w:t>
      </w:r>
      <w:r w:rsidR="00F12458">
        <w:rPr>
          <w:rFonts w:cstheme="minorHAnsi"/>
        </w:rPr>
        <w:t>28.810</w:t>
      </w:r>
      <w:r>
        <w:rPr>
          <w:rFonts w:cstheme="minorHAnsi"/>
        </w:rPr>
        <w:t xml:space="preserve"> kn</w:t>
      </w:r>
      <w:r w:rsidR="00F2123B">
        <w:rPr>
          <w:rFonts w:cstheme="minorHAnsi"/>
        </w:rPr>
        <w:t>,</w:t>
      </w:r>
    </w:p>
    <w:p w:rsidR="00A5321A" w:rsidRPr="00A5321A" w:rsidRDefault="00A5321A"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lastRenderedPageBreak/>
        <w:t xml:space="preserve">24 – obveze za nabavu nefinancijske imovine – </w:t>
      </w:r>
      <w:r w:rsidR="00F2123B">
        <w:rPr>
          <w:rFonts w:cstheme="minorHAnsi"/>
        </w:rPr>
        <w:t>869.766</w:t>
      </w:r>
      <w:r>
        <w:rPr>
          <w:rFonts w:cstheme="minorHAnsi"/>
        </w:rPr>
        <w:t xml:space="preserve"> kn.</w:t>
      </w:r>
    </w:p>
    <w:p w:rsidR="00A5321A" w:rsidRDefault="00A5321A" w:rsidP="001B5FD7">
      <w:pPr>
        <w:autoSpaceDE w:val="0"/>
        <w:autoSpaceDN w:val="0"/>
        <w:adjustRightInd w:val="0"/>
        <w:spacing w:after="0" w:line="240" w:lineRule="auto"/>
        <w:jc w:val="both"/>
        <w:rPr>
          <w:rFonts w:cstheme="minorHAnsi"/>
          <w:u w:val="single"/>
        </w:rPr>
      </w:pPr>
    </w:p>
    <w:p w:rsidR="00A5321A" w:rsidRDefault="00A5321A" w:rsidP="001B5FD7">
      <w:pPr>
        <w:autoSpaceDE w:val="0"/>
        <w:autoSpaceDN w:val="0"/>
        <w:adjustRightInd w:val="0"/>
        <w:spacing w:after="0" w:line="240" w:lineRule="auto"/>
        <w:jc w:val="both"/>
        <w:rPr>
          <w:rFonts w:cstheme="minorHAnsi"/>
          <w:u w:val="single"/>
        </w:rPr>
      </w:pPr>
      <w:r>
        <w:rPr>
          <w:rFonts w:cstheme="minorHAnsi"/>
          <w:u w:val="single"/>
        </w:rPr>
        <w:t xml:space="preserve">Prekoračenje preko 360 dana iznosi </w:t>
      </w:r>
      <w:r w:rsidR="00F2123B">
        <w:rPr>
          <w:rFonts w:cstheme="minorHAnsi"/>
          <w:u w:val="single"/>
        </w:rPr>
        <w:t>2.976.851</w:t>
      </w:r>
      <w:r>
        <w:rPr>
          <w:rFonts w:cstheme="minorHAnsi"/>
          <w:u w:val="single"/>
        </w:rPr>
        <w:t xml:space="preserve"> kn</w:t>
      </w:r>
    </w:p>
    <w:p w:rsidR="00A5321A" w:rsidRPr="00A5321A" w:rsidRDefault="00A5321A"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Međusobne obveze proračunskih korisnika – </w:t>
      </w:r>
      <w:r w:rsidR="00F2123B">
        <w:rPr>
          <w:rFonts w:cstheme="minorHAnsi"/>
        </w:rPr>
        <w:t>26.327</w:t>
      </w:r>
      <w:r>
        <w:rPr>
          <w:rFonts w:cstheme="minorHAnsi"/>
        </w:rPr>
        <w:t xml:space="preserve"> kn</w:t>
      </w:r>
      <w:r w:rsidR="00F2123B">
        <w:rPr>
          <w:rFonts w:cstheme="minorHAnsi"/>
        </w:rPr>
        <w:t>,</w:t>
      </w:r>
    </w:p>
    <w:p w:rsidR="00A5321A" w:rsidRPr="00A5321A" w:rsidRDefault="00A5321A"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232 – obveze za materijalne rashode – </w:t>
      </w:r>
      <w:r w:rsidR="00F2123B">
        <w:rPr>
          <w:rFonts w:cstheme="minorHAnsi"/>
        </w:rPr>
        <w:t>42.834</w:t>
      </w:r>
      <w:r>
        <w:rPr>
          <w:rFonts w:cstheme="minorHAnsi"/>
        </w:rPr>
        <w:t xml:space="preserve"> kn,</w:t>
      </w:r>
    </w:p>
    <w:p w:rsidR="00A5321A" w:rsidRPr="00A5321A" w:rsidRDefault="00A5321A" w:rsidP="001B5FD7">
      <w:pPr>
        <w:pStyle w:val="ListParagraph"/>
        <w:numPr>
          <w:ilvl w:val="0"/>
          <w:numId w:val="5"/>
        </w:numPr>
        <w:autoSpaceDE w:val="0"/>
        <w:autoSpaceDN w:val="0"/>
        <w:adjustRightInd w:val="0"/>
        <w:spacing w:after="0" w:line="240" w:lineRule="auto"/>
        <w:jc w:val="both"/>
        <w:rPr>
          <w:rFonts w:cstheme="minorHAnsi"/>
          <w:u w:val="single"/>
        </w:rPr>
      </w:pPr>
      <w:r>
        <w:rPr>
          <w:rFonts w:cstheme="minorHAnsi"/>
        </w:rPr>
        <w:t xml:space="preserve">24 – obveze za nabavu nefinancijske imovine – </w:t>
      </w:r>
      <w:r w:rsidR="00F2123B">
        <w:rPr>
          <w:rFonts w:cstheme="minorHAnsi"/>
        </w:rPr>
        <w:t>2.907.690</w:t>
      </w:r>
      <w:r>
        <w:rPr>
          <w:rFonts w:cstheme="minorHAnsi"/>
        </w:rPr>
        <w:t xml:space="preserve"> kn.</w:t>
      </w:r>
    </w:p>
    <w:p w:rsidR="00A5321A" w:rsidRDefault="00A5321A" w:rsidP="001B5FD7">
      <w:pPr>
        <w:autoSpaceDE w:val="0"/>
        <w:autoSpaceDN w:val="0"/>
        <w:adjustRightInd w:val="0"/>
        <w:spacing w:after="0" w:line="240" w:lineRule="auto"/>
        <w:jc w:val="both"/>
        <w:rPr>
          <w:rFonts w:cstheme="minorHAnsi"/>
          <w:b/>
        </w:rPr>
      </w:pPr>
    </w:p>
    <w:p w:rsidR="00A5321A" w:rsidRDefault="00A5321A" w:rsidP="001B5FD7">
      <w:pPr>
        <w:autoSpaceDE w:val="0"/>
        <w:autoSpaceDN w:val="0"/>
        <w:adjustRightInd w:val="0"/>
        <w:spacing w:after="0" w:line="240" w:lineRule="auto"/>
        <w:jc w:val="both"/>
        <w:rPr>
          <w:rFonts w:cstheme="minorHAnsi"/>
          <w:b/>
        </w:rPr>
      </w:pPr>
      <w:r w:rsidRPr="00A5321A">
        <w:rPr>
          <w:rFonts w:cstheme="minorHAnsi"/>
          <w:b/>
        </w:rPr>
        <w:t>Nedospjele obveze</w:t>
      </w:r>
      <w:r>
        <w:rPr>
          <w:rFonts w:cstheme="minorHAnsi"/>
          <w:b/>
        </w:rPr>
        <w:t xml:space="preserve"> </w:t>
      </w:r>
      <w:r w:rsidR="00F2123B">
        <w:rPr>
          <w:rFonts w:cstheme="minorHAnsi"/>
          <w:b/>
        </w:rPr>
        <w:t>2.453.876.261</w:t>
      </w:r>
      <w:r>
        <w:rPr>
          <w:rFonts w:cstheme="minorHAnsi"/>
          <w:b/>
        </w:rPr>
        <w:t xml:space="preserve"> kn:</w:t>
      </w:r>
    </w:p>
    <w:p w:rsidR="00A5321A" w:rsidRPr="009E32A8" w:rsidRDefault="00A5321A" w:rsidP="001B5FD7">
      <w:pPr>
        <w:pStyle w:val="ListParagraph"/>
        <w:numPr>
          <w:ilvl w:val="0"/>
          <w:numId w:val="5"/>
        </w:numPr>
        <w:autoSpaceDE w:val="0"/>
        <w:autoSpaceDN w:val="0"/>
        <w:adjustRightInd w:val="0"/>
        <w:spacing w:after="0" w:line="240" w:lineRule="auto"/>
        <w:jc w:val="both"/>
        <w:rPr>
          <w:rFonts w:cstheme="minorHAnsi"/>
          <w:b/>
        </w:rPr>
      </w:pPr>
      <w:r w:rsidRPr="009E32A8">
        <w:rPr>
          <w:rFonts w:cstheme="minorHAnsi"/>
        </w:rPr>
        <w:t>Međusobne obveze proračunskih korisnika</w:t>
      </w:r>
      <w:r w:rsidR="00436742" w:rsidRPr="009E32A8">
        <w:rPr>
          <w:rFonts w:cstheme="minorHAnsi"/>
        </w:rPr>
        <w:t xml:space="preserve"> – iznose </w:t>
      </w:r>
      <w:r w:rsidR="00F2123B">
        <w:rPr>
          <w:rFonts w:cstheme="minorHAnsi"/>
        </w:rPr>
        <w:t xml:space="preserve">78.485.145 </w:t>
      </w:r>
      <w:r w:rsidR="00436742" w:rsidRPr="009E32A8">
        <w:rPr>
          <w:rFonts w:cstheme="minorHAnsi"/>
        </w:rPr>
        <w:t>kn</w:t>
      </w:r>
      <w:r w:rsidR="00F2123B">
        <w:rPr>
          <w:rFonts w:cstheme="minorHAnsi"/>
        </w:rPr>
        <w:t>,</w:t>
      </w:r>
    </w:p>
    <w:p w:rsidR="00436742" w:rsidRDefault="00436742" w:rsidP="001B5FD7">
      <w:pPr>
        <w:pStyle w:val="ListParagraph"/>
        <w:numPr>
          <w:ilvl w:val="0"/>
          <w:numId w:val="5"/>
        </w:numPr>
        <w:autoSpaceDE w:val="0"/>
        <w:autoSpaceDN w:val="0"/>
        <w:adjustRightInd w:val="0"/>
        <w:spacing w:after="0" w:line="240" w:lineRule="auto"/>
        <w:jc w:val="both"/>
        <w:rPr>
          <w:rFonts w:cstheme="minorHAnsi"/>
        </w:rPr>
      </w:pPr>
      <w:r w:rsidRPr="009E32A8">
        <w:rPr>
          <w:rFonts w:cstheme="minorHAnsi"/>
        </w:rPr>
        <w:t xml:space="preserve">Obveze za rashode poslovanja – iznose </w:t>
      </w:r>
      <w:r w:rsidR="00F2123B">
        <w:rPr>
          <w:rFonts w:cstheme="minorHAnsi"/>
        </w:rPr>
        <w:t>355.744.413</w:t>
      </w:r>
      <w:r w:rsidRPr="009E32A8">
        <w:rPr>
          <w:rFonts w:cstheme="minorHAnsi"/>
        </w:rPr>
        <w:t xml:space="preserve"> kn</w:t>
      </w:r>
      <w:r w:rsidR="009E32A8">
        <w:rPr>
          <w:rFonts w:cstheme="minorHAnsi"/>
        </w:rPr>
        <w:t xml:space="preserve"> (obveze za plaće za prosinac 201</w:t>
      </w:r>
      <w:r w:rsidR="00F2123B">
        <w:rPr>
          <w:rFonts w:cstheme="minorHAnsi"/>
        </w:rPr>
        <w:t>8</w:t>
      </w:r>
      <w:r w:rsidR="009E32A8">
        <w:rPr>
          <w:rFonts w:cstheme="minorHAnsi"/>
        </w:rPr>
        <w:t>, za materijalne rashode, za PDV i ostale obveze)</w:t>
      </w:r>
    </w:p>
    <w:p w:rsidR="009E32A8" w:rsidRDefault="009E32A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 xml:space="preserve">Obveze za nabavu nefinancijske imovine </w:t>
      </w:r>
      <w:r w:rsidR="00F2123B">
        <w:rPr>
          <w:rFonts w:cstheme="minorHAnsi"/>
        </w:rPr>
        <w:t>163.732.204</w:t>
      </w:r>
      <w:r>
        <w:rPr>
          <w:rFonts w:cstheme="minorHAnsi"/>
        </w:rPr>
        <w:t xml:space="preserve"> kn,</w:t>
      </w:r>
    </w:p>
    <w:p w:rsidR="009E32A8" w:rsidRPr="009E32A8" w:rsidRDefault="009E32A8" w:rsidP="001B5FD7">
      <w:pPr>
        <w:pStyle w:val="ListParagraph"/>
        <w:numPr>
          <w:ilvl w:val="0"/>
          <w:numId w:val="5"/>
        </w:numPr>
        <w:autoSpaceDE w:val="0"/>
        <w:autoSpaceDN w:val="0"/>
        <w:adjustRightInd w:val="0"/>
        <w:spacing w:after="0" w:line="240" w:lineRule="auto"/>
        <w:jc w:val="both"/>
        <w:rPr>
          <w:rFonts w:cstheme="minorHAnsi"/>
        </w:rPr>
      </w:pPr>
      <w:r>
        <w:rPr>
          <w:rFonts w:cstheme="minorHAnsi"/>
        </w:rPr>
        <w:t>Obveze za financijsku imovinu – 1.</w:t>
      </w:r>
      <w:r w:rsidR="00F2123B">
        <w:rPr>
          <w:rFonts w:cstheme="minorHAnsi"/>
        </w:rPr>
        <w:t>855.914.499</w:t>
      </w:r>
      <w:r>
        <w:rPr>
          <w:rFonts w:cstheme="minorHAnsi"/>
        </w:rPr>
        <w:t xml:space="preserve"> kn (obveze za kredite i zajmove).</w:t>
      </w:r>
    </w:p>
    <w:p w:rsidR="00FA5DD5" w:rsidRDefault="00FA5DD5" w:rsidP="00F41F10">
      <w:pPr>
        <w:pStyle w:val="ListParagraph"/>
        <w:autoSpaceDE w:val="0"/>
        <w:autoSpaceDN w:val="0"/>
        <w:adjustRightInd w:val="0"/>
        <w:spacing w:after="0" w:line="240" w:lineRule="auto"/>
        <w:rPr>
          <w:rFonts w:cstheme="minorHAnsi"/>
        </w:rPr>
      </w:pPr>
    </w:p>
    <w:p w:rsidR="00FA5DD5" w:rsidRDefault="00FA5DD5" w:rsidP="00F41F10">
      <w:pPr>
        <w:pStyle w:val="ListParagraph"/>
        <w:autoSpaceDE w:val="0"/>
        <w:autoSpaceDN w:val="0"/>
        <w:adjustRightInd w:val="0"/>
        <w:spacing w:after="0" w:line="240" w:lineRule="auto"/>
        <w:rPr>
          <w:rFonts w:cstheme="minorHAnsi"/>
        </w:rPr>
      </w:pPr>
    </w:p>
    <w:p w:rsidR="00EF7596" w:rsidRDefault="00EF7596" w:rsidP="00EF7596">
      <w:pPr>
        <w:spacing w:after="0"/>
        <w:rPr>
          <w:rFonts w:cstheme="minorHAnsi"/>
          <w:sz w:val="28"/>
          <w:szCs w:val="28"/>
        </w:rPr>
      </w:pPr>
    </w:p>
    <w:p w:rsidR="00EF7596" w:rsidRPr="00766C3C" w:rsidRDefault="00EF7596" w:rsidP="00EF7596">
      <w:pPr>
        <w:spacing w:after="0"/>
        <w:rPr>
          <w:rFonts w:cstheme="minorHAnsi"/>
          <w:sz w:val="28"/>
          <w:szCs w:val="28"/>
        </w:rPr>
      </w:pPr>
      <w:r w:rsidRPr="00766C3C">
        <w:rPr>
          <w:rFonts w:cstheme="minorHAnsi"/>
          <w:sz w:val="28"/>
          <w:szCs w:val="28"/>
        </w:rPr>
        <w:t>IZVJEŠTAJ O PROMJENAMA U VRIJEDNOSTI I OBUJUMU IMOVINE I OBVEZA</w:t>
      </w:r>
    </w:p>
    <w:p w:rsidR="00EF7596" w:rsidRPr="00766C3C" w:rsidRDefault="00EF7596" w:rsidP="00EF7596">
      <w:pPr>
        <w:spacing w:after="0"/>
        <w:jc w:val="center"/>
        <w:rPr>
          <w:rFonts w:cstheme="minorHAnsi"/>
          <w:b/>
        </w:rPr>
      </w:pP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 xml:space="preserve">Bilješka br.1  - AOP 003 Promjene u vrijednosti (revalorizacija) nefinancijske imovine </w:t>
      </w:r>
    </w:p>
    <w:p w:rsidR="003A3A4E" w:rsidRPr="00F97632" w:rsidRDefault="003A3A4E" w:rsidP="003A3A4E">
      <w:pPr>
        <w:spacing w:after="0" w:line="240" w:lineRule="auto"/>
        <w:jc w:val="both"/>
        <w:rPr>
          <w:rFonts w:eastAsia="Times New Roman" w:cstheme="minorHAnsi"/>
          <w:lang w:eastAsia="hr-HR"/>
        </w:rPr>
      </w:pP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Povećanje vrijednosti nefinancijske imovine u iznosu od 939.056 kuna odnosi se na vrijednosno usklađenje imovine - revaloriziranu vrijednost 4 građevinska objekta stečena temeljem Zakona o nasljeđivanju.</w:t>
      </w: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 xml:space="preserve">Smanjenje vrijednosti nefinancijske imovine u iznosu od 729.893 kuna odnosi se na vrijednosno usklađenje imovine za evidentirani trošak redovnog poslovanja. </w:t>
      </w:r>
    </w:p>
    <w:p w:rsidR="003A3A4E" w:rsidRPr="00F97632" w:rsidRDefault="003A3A4E" w:rsidP="003A3A4E">
      <w:pPr>
        <w:spacing w:after="0" w:line="240" w:lineRule="auto"/>
        <w:jc w:val="both"/>
        <w:rPr>
          <w:rFonts w:eastAsia="Times New Roman" w:cstheme="minorHAnsi"/>
          <w:lang w:eastAsia="hr-HR"/>
        </w:rPr>
      </w:pP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Bilješka br. 2 – AOP 010 Promjene u vrijednosti (revalorizacija) financijske imovine</w:t>
      </w:r>
    </w:p>
    <w:p w:rsidR="003A3A4E" w:rsidRPr="00F97632" w:rsidRDefault="003A3A4E" w:rsidP="003A3A4E">
      <w:pPr>
        <w:spacing w:after="0" w:line="240" w:lineRule="auto"/>
        <w:jc w:val="both"/>
        <w:rPr>
          <w:rFonts w:eastAsia="Times New Roman" w:cstheme="minorHAnsi"/>
          <w:lang w:eastAsia="hr-HR"/>
        </w:rPr>
      </w:pP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Prema obavijesti Središnjeg klirinškog depozitarnog društva o stanju računa na 31.12.2018. i tržišnoj vrijednosti provedeno je vrijednosno usklađenje dionica i vrijednosnih papira u vlasništvu Grada Zagreba i to: povećanje vrijednosti dionica u iznosu 30.150 kuna te smanjenje vrijednosti vrijednosnih papira u iznosu 1.459.263 kuna.</w:t>
      </w:r>
    </w:p>
    <w:p w:rsidR="003A3A4E" w:rsidRPr="00F97632" w:rsidRDefault="003A3A4E" w:rsidP="003A3A4E">
      <w:pPr>
        <w:spacing w:after="0" w:line="240" w:lineRule="auto"/>
        <w:jc w:val="both"/>
        <w:rPr>
          <w:rFonts w:eastAsia="Times New Roman" w:cstheme="minorHAnsi"/>
          <w:lang w:eastAsia="hr-HR"/>
        </w:rPr>
      </w:pP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Bilješka br. 3 – AOP 019 Promjene u obujmu nefinancijske imovine</w:t>
      </w:r>
    </w:p>
    <w:p w:rsidR="003A3A4E" w:rsidRPr="00F97632" w:rsidRDefault="003A3A4E" w:rsidP="003A3A4E">
      <w:pPr>
        <w:spacing w:after="0" w:line="240" w:lineRule="auto"/>
        <w:jc w:val="both"/>
        <w:rPr>
          <w:rFonts w:eastAsia="Times New Roman" w:cstheme="minorHAnsi"/>
          <w:lang w:eastAsia="hr-HR"/>
        </w:rPr>
      </w:pP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Povećanje obujma nefinancijske imovine iznosi 190.902.101 kuna, a odnosi se na:</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novo evidentirana zemljišta u vlasništvu Grada koja nisu bila evidentirana, a predmet su kupoprodaje po procijenjenoj vrijednosti od stalnog sudskog vještaka u iznosu od 56.624.358 kuna,</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176.679 kuna evidentiranih dodatnih ulaganja u neproizvedenu imovinu - informacijske sustave,</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127.627.950 kuna procijenjene knjigovodstvene vrijednosti 86 objekta koje koristi mjesna samouprava od strane internog procjeniteljskog povjerenstva i Ministarstva financija-Porezna uprava,</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3.065.795 kuna utvrđenih dodatnih ulaganja u proizvedenu imovinu,</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2.362.157 kuna prepoznate, a ne evidentirane imovine utvrđene popisom,</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uknjiženje poslovnog prostora, kuće i stana u vrijednosti 1.040.159 kuna i</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5.000 kuna viška sitnog inventara utvrđenih popisom.</w:t>
      </w:r>
    </w:p>
    <w:p w:rsidR="003A3A4E" w:rsidRPr="00F97632" w:rsidRDefault="003A3A4E" w:rsidP="003A3A4E">
      <w:pPr>
        <w:spacing w:after="0" w:line="240" w:lineRule="auto"/>
        <w:jc w:val="both"/>
        <w:rPr>
          <w:rFonts w:eastAsia="Times New Roman" w:cstheme="minorHAnsi"/>
          <w:lang w:eastAsia="hr-HR"/>
        </w:rPr>
      </w:pPr>
      <w:r w:rsidRPr="00F97632">
        <w:rPr>
          <w:rFonts w:eastAsia="Times New Roman" w:cstheme="minorHAnsi"/>
          <w:lang w:eastAsia="hr-HR"/>
        </w:rPr>
        <w:t>Smanjenje u obujmu nefinancijske imovine iznosi 22.118.000 kuna, a odnosi se na:</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 xml:space="preserve"> prijenos opreme proračunskim korisnicima proračuna u iznosu 17.575.970 kuna,</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lastRenderedPageBreak/>
        <w:t xml:space="preserve">isknjiženje poslovnog prostora, kioska i dva stana sadašnje vrijednosti 3.308.666 kuna temeljem obavljenog popisa </w:t>
      </w:r>
      <w:r w:rsidRPr="00F97632">
        <w:rPr>
          <w:rFonts w:cstheme="minorHAnsi"/>
        </w:rPr>
        <w:t>stanova i poslovnih prostora,</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2.692 kuna, a odnosi se na rashodovanu nefinancijsku imovinu po obavljenom popisu,</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 xml:space="preserve">isknjiženje imovine prema donesenim zaključcima tijekom godine sadašnje vrijednosti 1.013.485 kuna i </w:t>
      </w:r>
    </w:p>
    <w:p w:rsidR="003A3A4E" w:rsidRPr="00F97632" w:rsidRDefault="003A3A4E" w:rsidP="003A3A4E">
      <w:pPr>
        <w:pStyle w:val="ListParagraph"/>
        <w:numPr>
          <w:ilvl w:val="0"/>
          <w:numId w:val="7"/>
        </w:numPr>
        <w:spacing w:after="0" w:line="240" w:lineRule="auto"/>
        <w:jc w:val="both"/>
        <w:rPr>
          <w:rFonts w:eastAsia="Times New Roman" w:cstheme="minorHAnsi"/>
          <w:lang w:eastAsia="hr-HR"/>
        </w:rPr>
      </w:pPr>
      <w:r w:rsidRPr="00F97632">
        <w:rPr>
          <w:rFonts w:eastAsia="Times New Roman" w:cstheme="minorHAnsi"/>
          <w:lang w:eastAsia="hr-HR"/>
        </w:rPr>
        <w:t>217.187 kuna odnosi se na isknjiženje dotrajalog, rashodovanog sitnog inventara prema donesenim zaključcima.</w:t>
      </w:r>
    </w:p>
    <w:p w:rsidR="003A3A4E" w:rsidRPr="00F97632" w:rsidRDefault="003A3A4E" w:rsidP="003A3A4E">
      <w:pPr>
        <w:pStyle w:val="ListParagraph"/>
        <w:spacing w:after="0" w:line="240" w:lineRule="auto"/>
        <w:ind w:left="0"/>
        <w:jc w:val="both"/>
        <w:rPr>
          <w:rFonts w:eastAsia="Times New Roman" w:cstheme="minorHAnsi"/>
          <w:lang w:eastAsia="hr-HR"/>
        </w:rPr>
      </w:pPr>
    </w:p>
    <w:p w:rsidR="003A3A4E" w:rsidRPr="00F97632" w:rsidRDefault="003A3A4E" w:rsidP="003A3A4E">
      <w:pPr>
        <w:pStyle w:val="ListParagraph"/>
        <w:spacing w:after="0" w:line="240" w:lineRule="auto"/>
        <w:ind w:left="0"/>
        <w:jc w:val="both"/>
        <w:rPr>
          <w:rFonts w:eastAsia="Times New Roman" w:cstheme="minorHAnsi"/>
          <w:lang w:eastAsia="hr-HR"/>
        </w:rPr>
      </w:pPr>
      <w:r w:rsidRPr="00F97632">
        <w:rPr>
          <w:rFonts w:eastAsia="Times New Roman" w:cstheme="minorHAnsi"/>
          <w:lang w:eastAsia="hr-HR"/>
        </w:rPr>
        <w:t>Bilješka br. 4 – AOP 026 Promjene u obujmu financijske imovine</w:t>
      </w:r>
    </w:p>
    <w:p w:rsidR="003A3A4E" w:rsidRPr="00F97632" w:rsidRDefault="003A3A4E" w:rsidP="003A3A4E">
      <w:pPr>
        <w:pStyle w:val="ListParagraph"/>
        <w:spacing w:after="0" w:line="240" w:lineRule="auto"/>
        <w:ind w:left="0"/>
        <w:jc w:val="both"/>
        <w:rPr>
          <w:rFonts w:eastAsia="Times New Roman" w:cstheme="minorHAnsi"/>
          <w:lang w:eastAsia="hr-HR"/>
        </w:rPr>
      </w:pPr>
    </w:p>
    <w:p w:rsidR="003A3A4E" w:rsidRPr="00F97632" w:rsidRDefault="003A3A4E" w:rsidP="003A3A4E">
      <w:pPr>
        <w:pStyle w:val="ListParagraph"/>
        <w:spacing w:after="0" w:line="240" w:lineRule="auto"/>
        <w:ind w:left="0"/>
        <w:jc w:val="both"/>
        <w:rPr>
          <w:rFonts w:eastAsia="Times New Roman" w:cstheme="minorHAnsi"/>
          <w:lang w:eastAsia="hr-HR"/>
        </w:rPr>
      </w:pPr>
      <w:r w:rsidRPr="00F97632">
        <w:rPr>
          <w:rFonts w:eastAsia="Times New Roman" w:cstheme="minorHAnsi"/>
          <w:lang w:eastAsia="hr-HR"/>
        </w:rPr>
        <w:t>Smanjenje u obujmu financijske imovine iznosi 120.880.051 kunu, od čega se 120.868.967 kuna odnosi na otpis potraživanja za prihode poslovanja od zakupnina, stanarina, spomeničke rente, komunalne naknade i dr. troškova te 11.084 kuna potraživanja od prodaje nefinancijske imovine, u kojima ovršenik/tuženik više ne postoji, radi nemogućnosti naplate potraživanja, zastare i dr. razloga.</w:t>
      </w:r>
    </w:p>
    <w:p w:rsidR="003A3A4E" w:rsidRPr="00F97632" w:rsidRDefault="003A3A4E" w:rsidP="003A3A4E">
      <w:pPr>
        <w:pStyle w:val="ListParagraph"/>
        <w:spacing w:after="0" w:line="240" w:lineRule="auto"/>
        <w:ind w:left="0"/>
        <w:jc w:val="both"/>
        <w:rPr>
          <w:rFonts w:eastAsia="Times New Roman" w:cstheme="minorHAnsi"/>
          <w:lang w:eastAsia="hr-HR"/>
        </w:rPr>
      </w:pPr>
      <w:r w:rsidRPr="00F97632">
        <w:rPr>
          <w:rFonts w:eastAsia="Times New Roman" w:cstheme="minorHAnsi"/>
          <w:lang w:eastAsia="hr-HR"/>
        </w:rPr>
        <w:t>Navedena smanjenja potraživanja provedena su na temelju Odluke o otpisu dugova fizičkim osobama (Službeni glasnik Grada Zagreba br. 20/18) i donesenih zaključaka gradonačelnika Grada.</w:t>
      </w:r>
    </w:p>
    <w:p w:rsidR="003A3A4E" w:rsidRDefault="003A3A4E" w:rsidP="00EF7596">
      <w:pPr>
        <w:autoSpaceDE w:val="0"/>
        <w:autoSpaceDN w:val="0"/>
        <w:adjustRightInd w:val="0"/>
        <w:spacing w:after="0" w:line="240" w:lineRule="auto"/>
        <w:rPr>
          <w:rFonts w:cstheme="minorHAnsi"/>
        </w:rPr>
      </w:pPr>
    </w:p>
    <w:p w:rsidR="00EF7596" w:rsidRDefault="00EF7596" w:rsidP="00EF7596">
      <w:pPr>
        <w:autoSpaceDE w:val="0"/>
        <w:autoSpaceDN w:val="0"/>
        <w:adjustRightInd w:val="0"/>
        <w:spacing w:after="0" w:line="240" w:lineRule="auto"/>
        <w:rPr>
          <w:rFonts w:cstheme="minorHAnsi"/>
        </w:rPr>
      </w:pPr>
      <w:r w:rsidRPr="00766C3C">
        <w:rPr>
          <w:rFonts w:cstheme="minorHAnsi"/>
        </w:rPr>
        <w:tab/>
      </w:r>
      <w:r w:rsidRPr="00766C3C">
        <w:rPr>
          <w:rFonts w:cstheme="minorHAnsi"/>
        </w:rPr>
        <w:tab/>
        <w:t xml:space="preserve">      </w:t>
      </w:r>
    </w:p>
    <w:p w:rsidR="00EF7596" w:rsidRDefault="00EF7596" w:rsidP="00EF7596">
      <w:pPr>
        <w:autoSpaceDE w:val="0"/>
        <w:autoSpaceDN w:val="0"/>
        <w:adjustRightInd w:val="0"/>
        <w:spacing w:after="0" w:line="240" w:lineRule="auto"/>
        <w:rPr>
          <w:rFonts w:cstheme="minorHAnsi"/>
        </w:rPr>
      </w:pPr>
    </w:p>
    <w:p w:rsidR="00EF7596" w:rsidRDefault="00EF7596" w:rsidP="00EF7596">
      <w:pPr>
        <w:autoSpaceDE w:val="0"/>
        <w:autoSpaceDN w:val="0"/>
        <w:adjustRightInd w:val="0"/>
        <w:spacing w:after="0" w:line="240" w:lineRule="auto"/>
        <w:rPr>
          <w:rFonts w:cstheme="minorHAnsi"/>
        </w:rPr>
      </w:pPr>
      <w:r>
        <w:rPr>
          <w:rFonts w:cstheme="minorHAnsi"/>
        </w:rPr>
        <w:t>BILJEŠKE SASTAVILI:</w:t>
      </w:r>
    </w:p>
    <w:p w:rsidR="00EF7596" w:rsidRDefault="00EF7596" w:rsidP="00EF7596">
      <w:pPr>
        <w:autoSpaceDE w:val="0"/>
        <w:autoSpaceDN w:val="0"/>
        <w:adjustRightInd w:val="0"/>
        <w:spacing w:after="0" w:line="240" w:lineRule="auto"/>
        <w:rPr>
          <w:rFonts w:cstheme="minorHAnsi"/>
        </w:rPr>
      </w:pPr>
    </w:p>
    <w:p w:rsidR="00EF7596" w:rsidRDefault="00EF7596" w:rsidP="00EF7596">
      <w:pPr>
        <w:autoSpaceDE w:val="0"/>
        <w:autoSpaceDN w:val="0"/>
        <w:adjustRightInd w:val="0"/>
        <w:spacing w:after="0" w:line="240" w:lineRule="auto"/>
        <w:rPr>
          <w:rFonts w:cstheme="minorHAnsi"/>
        </w:rPr>
      </w:pPr>
      <w:r>
        <w:rPr>
          <w:rFonts w:cstheme="minorHAnsi"/>
        </w:rPr>
        <w:t>Vesna Ćurković, dipl.oec.</w:t>
      </w:r>
      <w:r>
        <w:rPr>
          <w:rFonts w:cstheme="minorHAnsi"/>
        </w:rPr>
        <w:tab/>
      </w:r>
      <w:r>
        <w:rPr>
          <w:rFonts w:cstheme="minorHAnsi"/>
        </w:rPr>
        <w:tab/>
      </w:r>
      <w:r>
        <w:rPr>
          <w:rFonts w:cstheme="minorHAnsi"/>
        </w:rPr>
        <w:tab/>
      </w:r>
      <w:r>
        <w:rPr>
          <w:rFonts w:cstheme="minorHAnsi"/>
        </w:rPr>
        <w:tab/>
      </w:r>
    </w:p>
    <w:p w:rsidR="00EF7596" w:rsidRDefault="00EF7596" w:rsidP="00EF7596">
      <w:pPr>
        <w:autoSpaceDE w:val="0"/>
        <w:autoSpaceDN w:val="0"/>
        <w:adjustRightInd w:val="0"/>
        <w:spacing w:after="0" w:line="240" w:lineRule="auto"/>
        <w:rPr>
          <w:rFonts w:cstheme="minorHAnsi"/>
        </w:rPr>
      </w:pPr>
    </w:p>
    <w:p w:rsidR="00DE3354" w:rsidRDefault="00EF7596" w:rsidP="00EF7596">
      <w:pPr>
        <w:autoSpaceDE w:val="0"/>
        <w:autoSpaceDN w:val="0"/>
        <w:adjustRightInd w:val="0"/>
        <w:spacing w:after="0" w:line="240" w:lineRule="auto"/>
        <w:rPr>
          <w:rFonts w:cstheme="minorHAnsi"/>
        </w:rPr>
      </w:pPr>
      <w:r w:rsidRPr="00685C3D">
        <w:rPr>
          <w:rFonts w:cstheme="minorHAnsi"/>
        </w:rPr>
        <w:t>Katarina Basta Miletić</w:t>
      </w:r>
      <w:r>
        <w:rPr>
          <w:rFonts w:cstheme="minorHAnsi"/>
        </w:rPr>
        <w:t>, dipl.oec.</w:t>
      </w:r>
      <w:r>
        <w:rPr>
          <w:rFonts w:cstheme="minorHAnsi"/>
        </w:rPr>
        <w:tab/>
      </w:r>
    </w:p>
    <w:p w:rsidR="00DE3354" w:rsidRDefault="00DE3354" w:rsidP="00EF7596">
      <w:pPr>
        <w:autoSpaceDE w:val="0"/>
        <w:autoSpaceDN w:val="0"/>
        <w:adjustRightInd w:val="0"/>
        <w:spacing w:after="0" w:line="240" w:lineRule="auto"/>
        <w:rPr>
          <w:rFonts w:cstheme="minorHAnsi"/>
        </w:rPr>
      </w:pPr>
    </w:p>
    <w:p w:rsidR="00EF7596" w:rsidRDefault="00DE3354" w:rsidP="00EF7596">
      <w:pPr>
        <w:autoSpaceDE w:val="0"/>
        <w:autoSpaceDN w:val="0"/>
        <w:adjustRightInd w:val="0"/>
        <w:spacing w:after="0" w:line="240" w:lineRule="auto"/>
        <w:rPr>
          <w:rFonts w:cstheme="minorHAnsi"/>
        </w:rPr>
      </w:pPr>
      <w:r>
        <w:rPr>
          <w:rFonts w:cstheme="minorHAnsi"/>
        </w:rPr>
        <w:t>Mirica Bedeković, dipl.oec.</w:t>
      </w:r>
      <w:r>
        <w:rPr>
          <w:rFonts w:cstheme="minorHAnsi"/>
        </w:rPr>
        <w:tab/>
      </w:r>
      <w:r>
        <w:rPr>
          <w:rFonts w:cstheme="minorHAnsi"/>
        </w:rPr>
        <w:tab/>
      </w:r>
      <w:r>
        <w:rPr>
          <w:rFonts w:cstheme="minorHAnsi"/>
        </w:rPr>
        <w:tab/>
      </w:r>
      <w:r>
        <w:rPr>
          <w:rFonts w:cstheme="minorHAnsi"/>
        </w:rPr>
        <w:tab/>
      </w:r>
      <w:r>
        <w:rPr>
          <w:rFonts w:cstheme="minorHAnsi"/>
        </w:rPr>
        <w:tab/>
      </w:r>
      <w:r w:rsidR="00EF7596">
        <w:rPr>
          <w:rFonts w:cstheme="minorHAnsi"/>
        </w:rPr>
        <w:tab/>
      </w:r>
      <w:r w:rsidR="00EF7596">
        <w:rPr>
          <w:rFonts w:cstheme="minorHAnsi"/>
        </w:rPr>
        <w:tab/>
        <w:t>M.P.</w:t>
      </w:r>
    </w:p>
    <w:p w:rsidR="00EF7596" w:rsidRDefault="00EF7596" w:rsidP="00EF7596">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GRADONAČELNIK</w:t>
      </w:r>
    </w:p>
    <w:p w:rsidR="00EF7596" w:rsidRDefault="00EF7596" w:rsidP="00EF7596">
      <w:pPr>
        <w:autoSpaceDE w:val="0"/>
        <w:autoSpaceDN w:val="0"/>
        <w:adjustRightInd w:val="0"/>
        <w:spacing w:after="0" w:line="240" w:lineRule="auto"/>
        <w:rPr>
          <w:rFonts w:cstheme="minorHAnsi"/>
        </w:rPr>
      </w:pPr>
    </w:p>
    <w:p w:rsidR="00EF7596" w:rsidRDefault="00EF7596" w:rsidP="00EF7596">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Milan Bandić, dipl.politolog </w:t>
      </w:r>
    </w:p>
    <w:p w:rsidR="00720F89" w:rsidRPr="00EF7596" w:rsidRDefault="00F41F10" w:rsidP="00EF7596">
      <w:pPr>
        <w:autoSpaceDE w:val="0"/>
        <w:autoSpaceDN w:val="0"/>
        <w:adjustRightInd w:val="0"/>
        <w:spacing w:after="0" w:line="240" w:lineRule="auto"/>
        <w:rPr>
          <w:rFonts w:cstheme="minorHAnsi"/>
        </w:rPr>
      </w:pPr>
      <w:r w:rsidRPr="00EF7596">
        <w:rPr>
          <w:rFonts w:cstheme="minorHAnsi"/>
        </w:rPr>
        <w:tab/>
        <w:t xml:space="preserve">    </w:t>
      </w:r>
      <w:r w:rsidR="00C45107" w:rsidRPr="00EF7596">
        <w:rPr>
          <w:rFonts w:cstheme="minorHAnsi"/>
        </w:rPr>
        <w:t xml:space="preserve">  </w:t>
      </w:r>
    </w:p>
    <w:sectPr w:rsidR="00720F89" w:rsidRPr="00EF759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40F" w:rsidRDefault="0064340F" w:rsidP="003F1F8D">
      <w:pPr>
        <w:spacing w:after="0" w:line="240" w:lineRule="auto"/>
      </w:pPr>
      <w:r>
        <w:separator/>
      </w:r>
    </w:p>
  </w:endnote>
  <w:endnote w:type="continuationSeparator" w:id="0">
    <w:p w:rsidR="0064340F" w:rsidRDefault="0064340F" w:rsidP="003F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783951"/>
      <w:docPartObj>
        <w:docPartGallery w:val="Page Numbers (Bottom of Page)"/>
        <w:docPartUnique/>
      </w:docPartObj>
    </w:sdtPr>
    <w:sdtEndPr/>
    <w:sdtContent>
      <w:p w:rsidR="000E7DBF" w:rsidRDefault="000E7DBF">
        <w:pPr>
          <w:pStyle w:val="Footer"/>
          <w:jc w:val="center"/>
        </w:pPr>
        <w:r>
          <w:fldChar w:fldCharType="begin"/>
        </w:r>
        <w:r>
          <w:instrText>PAGE   \* MERGEFORMAT</w:instrText>
        </w:r>
        <w:r>
          <w:fldChar w:fldCharType="separate"/>
        </w:r>
        <w:r w:rsidR="008D4B1B">
          <w:rPr>
            <w:noProof/>
          </w:rPr>
          <w:t>1</w:t>
        </w:r>
        <w:r>
          <w:fldChar w:fldCharType="end"/>
        </w:r>
      </w:p>
    </w:sdtContent>
  </w:sdt>
  <w:p w:rsidR="000E7DBF" w:rsidRDefault="000E7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40F" w:rsidRDefault="0064340F" w:rsidP="003F1F8D">
      <w:pPr>
        <w:spacing w:after="0" w:line="240" w:lineRule="auto"/>
      </w:pPr>
      <w:r>
        <w:separator/>
      </w:r>
    </w:p>
  </w:footnote>
  <w:footnote w:type="continuationSeparator" w:id="0">
    <w:p w:rsidR="0064340F" w:rsidRDefault="0064340F" w:rsidP="003F1F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D58"/>
    <w:multiLevelType w:val="multilevel"/>
    <w:tmpl w:val="32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865553"/>
    <w:multiLevelType w:val="hybridMultilevel"/>
    <w:tmpl w:val="0D1C3EE6"/>
    <w:lvl w:ilvl="0" w:tplc="D1B489D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nsid w:val="1AA849FC"/>
    <w:multiLevelType w:val="hybridMultilevel"/>
    <w:tmpl w:val="91447AFA"/>
    <w:lvl w:ilvl="0" w:tplc="21CE4676">
      <w:numFmt w:val="bullet"/>
      <w:lvlText w:val="-"/>
      <w:lvlJc w:val="left"/>
      <w:pPr>
        <w:ind w:left="720" w:hanging="360"/>
      </w:pPr>
      <w:rPr>
        <w:rFonts w:ascii="Calibri" w:eastAsiaTheme="minorHAnsi" w:hAnsi="Calibri" w:cstheme="minorHAns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5AB452B"/>
    <w:multiLevelType w:val="hybridMultilevel"/>
    <w:tmpl w:val="FE2A4CEC"/>
    <w:lvl w:ilvl="0" w:tplc="0FDCE544">
      <w:start w:val="5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240BB3"/>
    <w:multiLevelType w:val="hybridMultilevel"/>
    <w:tmpl w:val="A1D025A6"/>
    <w:lvl w:ilvl="0" w:tplc="4C4C818E">
      <w:numFmt w:val="bullet"/>
      <w:lvlText w:val="-"/>
      <w:lvlJc w:val="left"/>
      <w:pPr>
        <w:ind w:left="1065" w:hanging="360"/>
      </w:pPr>
      <w:rPr>
        <w:rFonts w:ascii="Calibri" w:eastAsiaTheme="minorEastAsia"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99F2AB8"/>
    <w:multiLevelType w:val="hybridMultilevel"/>
    <w:tmpl w:val="EFECD5B6"/>
    <w:lvl w:ilvl="0" w:tplc="97FC4B88">
      <w:start w:val="10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DA616B4"/>
    <w:multiLevelType w:val="hybridMultilevel"/>
    <w:tmpl w:val="709EDA38"/>
    <w:lvl w:ilvl="0" w:tplc="3C168980">
      <w:start w:val="18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58F0D70"/>
    <w:multiLevelType w:val="hybridMultilevel"/>
    <w:tmpl w:val="D0EED6AE"/>
    <w:lvl w:ilvl="0" w:tplc="10B0ACE2">
      <w:start w:val="5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CDB0781"/>
    <w:multiLevelType w:val="hybridMultilevel"/>
    <w:tmpl w:val="124E7EE6"/>
    <w:lvl w:ilvl="0" w:tplc="CB8E9E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67416EE"/>
    <w:multiLevelType w:val="hybridMultilevel"/>
    <w:tmpl w:val="F91677B6"/>
    <w:lvl w:ilvl="0" w:tplc="2C2281B8">
      <w:start w:val="356"/>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7"/>
  </w:num>
  <w:num w:numId="6">
    <w:abstractNumId w:val="6"/>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38"/>
    <w:rsid w:val="00003D36"/>
    <w:rsid w:val="000110FA"/>
    <w:rsid w:val="00012574"/>
    <w:rsid w:val="00025145"/>
    <w:rsid w:val="000346C1"/>
    <w:rsid w:val="00045308"/>
    <w:rsid w:val="000534AA"/>
    <w:rsid w:val="00072238"/>
    <w:rsid w:val="00076E84"/>
    <w:rsid w:val="0008456B"/>
    <w:rsid w:val="00084E3B"/>
    <w:rsid w:val="000A4351"/>
    <w:rsid w:val="000A454D"/>
    <w:rsid w:val="000B156B"/>
    <w:rsid w:val="000C19A2"/>
    <w:rsid w:val="000C26DD"/>
    <w:rsid w:val="000C346D"/>
    <w:rsid w:val="000C7002"/>
    <w:rsid w:val="000E7DBF"/>
    <w:rsid w:val="000F652B"/>
    <w:rsid w:val="00100249"/>
    <w:rsid w:val="00114338"/>
    <w:rsid w:val="00116B4E"/>
    <w:rsid w:val="00125603"/>
    <w:rsid w:val="0015583D"/>
    <w:rsid w:val="00181CFF"/>
    <w:rsid w:val="001917BD"/>
    <w:rsid w:val="00194E15"/>
    <w:rsid w:val="00194E52"/>
    <w:rsid w:val="001962BF"/>
    <w:rsid w:val="001A551C"/>
    <w:rsid w:val="001B46C1"/>
    <w:rsid w:val="001B5FD7"/>
    <w:rsid w:val="001C1D18"/>
    <w:rsid w:val="001C3101"/>
    <w:rsid w:val="001D16D4"/>
    <w:rsid w:val="001F74F0"/>
    <w:rsid w:val="00202886"/>
    <w:rsid w:val="0022023A"/>
    <w:rsid w:val="002337C2"/>
    <w:rsid w:val="00251C5D"/>
    <w:rsid w:val="00263C36"/>
    <w:rsid w:val="00270A1A"/>
    <w:rsid w:val="00271AD8"/>
    <w:rsid w:val="002923C2"/>
    <w:rsid w:val="002A0826"/>
    <w:rsid w:val="002A28F4"/>
    <w:rsid w:val="002A7B42"/>
    <w:rsid w:val="002B4A35"/>
    <w:rsid w:val="002E14E9"/>
    <w:rsid w:val="002E2D48"/>
    <w:rsid w:val="002E478D"/>
    <w:rsid w:val="002F4FE7"/>
    <w:rsid w:val="00315625"/>
    <w:rsid w:val="003271C2"/>
    <w:rsid w:val="00333178"/>
    <w:rsid w:val="003356D0"/>
    <w:rsid w:val="00340ED0"/>
    <w:rsid w:val="00344760"/>
    <w:rsid w:val="00346792"/>
    <w:rsid w:val="00353084"/>
    <w:rsid w:val="00355687"/>
    <w:rsid w:val="00355F07"/>
    <w:rsid w:val="00365D79"/>
    <w:rsid w:val="00367196"/>
    <w:rsid w:val="00373387"/>
    <w:rsid w:val="003930BE"/>
    <w:rsid w:val="00393965"/>
    <w:rsid w:val="00394B92"/>
    <w:rsid w:val="003968A8"/>
    <w:rsid w:val="00396C33"/>
    <w:rsid w:val="00397ADA"/>
    <w:rsid w:val="003A3A4E"/>
    <w:rsid w:val="003A6156"/>
    <w:rsid w:val="003B1587"/>
    <w:rsid w:val="003C0DC3"/>
    <w:rsid w:val="003C4E4D"/>
    <w:rsid w:val="003E338E"/>
    <w:rsid w:val="003F1F8D"/>
    <w:rsid w:val="003F5D90"/>
    <w:rsid w:val="004019CF"/>
    <w:rsid w:val="0041091A"/>
    <w:rsid w:val="004264FE"/>
    <w:rsid w:val="00436742"/>
    <w:rsid w:val="004608F2"/>
    <w:rsid w:val="00471830"/>
    <w:rsid w:val="004917FA"/>
    <w:rsid w:val="004962C7"/>
    <w:rsid w:val="004A0318"/>
    <w:rsid w:val="004B679E"/>
    <w:rsid w:val="004C4833"/>
    <w:rsid w:val="004D478B"/>
    <w:rsid w:val="004D52F1"/>
    <w:rsid w:val="004E6BB7"/>
    <w:rsid w:val="00515A54"/>
    <w:rsid w:val="00516BD8"/>
    <w:rsid w:val="00534892"/>
    <w:rsid w:val="00545987"/>
    <w:rsid w:val="005710D7"/>
    <w:rsid w:val="00582AAD"/>
    <w:rsid w:val="005E0B02"/>
    <w:rsid w:val="005E23FF"/>
    <w:rsid w:val="005E5FFE"/>
    <w:rsid w:val="005E6813"/>
    <w:rsid w:val="005F51CA"/>
    <w:rsid w:val="005F5E02"/>
    <w:rsid w:val="006063E7"/>
    <w:rsid w:val="0061001D"/>
    <w:rsid w:val="00610759"/>
    <w:rsid w:val="00624B03"/>
    <w:rsid w:val="0064340F"/>
    <w:rsid w:val="006511FB"/>
    <w:rsid w:val="00660079"/>
    <w:rsid w:val="00666593"/>
    <w:rsid w:val="00667103"/>
    <w:rsid w:val="0067283E"/>
    <w:rsid w:val="006B7D4D"/>
    <w:rsid w:val="006C1FA0"/>
    <w:rsid w:val="006C6859"/>
    <w:rsid w:val="006D3BDB"/>
    <w:rsid w:val="006D55D2"/>
    <w:rsid w:val="006E4E45"/>
    <w:rsid w:val="006F6826"/>
    <w:rsid w:val="007075BB"/>
    <w:rsid w:val="00711083"/>
    <w:rsid w:val="00720F89"/>
    <w:rsid w:val="00766BEE"/>
    <w:rsid w:val="0076773A"/>
    <w:rsid w:val="00782771"/>
    <w:rsid w:val="00782EC9"/>
    <w:rsid w:val="00794D4D"/>
    <w:rsid w:val="00796EF4"/>
    <w:rsid w:val="007A1F4D"/>
    <w:rsid w:val="007A5D1C"/>
    <w:rsid w:val="007C3985"/>
    <w:rsid w:val="007F5503"/>
    <w:rsid w:val="0080660A"/>
    <w:rsid w:val="00826362"/>
    <w:rsid w:val="00835491"/>
    <w:rsid w:val="00837FD9"/>
    <w:rsid w:val="00841062"/>
    <w:rsid w:val="00860748"/>
    <w:rsid w:val="00872559"/>
    <w:rsid w:val="00872577"/>
    <w:rsid w:val="00872A99"/>
    <w:rsid w:val="00875C50"/>
    <w:rsid w:val="008A3A79"/>
    <w:rsid w:val="008B6E7D"/>
    <w:rsid w:val="008B7F80"/>
    <w:rsid w:val="008C0F41"/>
    <w:rsid w:val="008C3BB4"/>
    <w:rsid w:val="008D0FC4"/>
    <w:rsid w:val="008D4B1B"/>
    <w:rsid w:val="008E3FF2"/>
    <w:rsid w:val="008E5F8A"/>
    <w:rsid w:val="008E7206"/>
    <w:rsid w:val="0090267A"/>
    <w:rsid w:val="0090550D"/>
    <w:rsid w:val="009109D9"/>
    <w:rsid w:val="00910D5B"/>
    <w:rsid w:val="00917BB4"/>
    <w:rsid w:val="00934BA3"/>
    <w:rsid w:val="00936AD5"/>
    <w:rsid w:val="009445A8"/>
    <w:rsid w:val="009460B6"/>
    <w:rsid w:val="00947D63"/>
    <w:rsid w:val="00950A5E"/>
    <w:rsid w:val="00970086"/>
    <w:rsid w:val="009810DD"/>
    <w:rsid w:val="00983600"/>
    <w:rsid w:val="00997BBA"/>
    <w:rsid w:val="009A2B8A"/>
    <w:rsid w:val="009D3513"/>
    <w:rsid w:val="009E32A8"/>
    <w:rsid w:val="009F3D0C"/>
    <w:rsid w:val="00A468EF"/>
    <w:rsid w:val="00A51FF2"/>
    <w:rsid w:val="00A5321A"/>
    <w:rsid w:val="00A7500C"/>
    <w:rsid w:val="00A927CF"/>
    <w:rsid w:val="00AA2DA7"/>
    <w:rsid w:val="00AB2F81"/>
    <w:rsid w:val="00AB500A"/>
    <w:rsid w:val="00AC52D2"/>
    <w:rsid w:val="00AD7813"/>
    <w:rsid w:val="00AE5B88"/>
    <w:rsid w:val="00AE7C96"/>
    <w:rsid w:val="00AF1018"/>
    <w:rsid w:val="00AF2041"/>
    <w:rsid w:val="00B15212"/>
    <w:rsid w:val="00B332B1"/>
    <w:rsid w:val="00B33A09"/>
    <w:rsid w:val="00B36F34"/>
    <w:rsid w:val="00B504D1"/>
    <w:rsid w:val="00B77354"/>
    <w:rsid w:val="00B83E65"/>
    <w:rsid w:val="00B90E81"/>
    <w:rsid w:val="00BC5AC3"/>
    <w:rsid w:val="00BD48B0"/>
    <w:rsid w:val="00BE02EA"/>
    <w:rsid w:val="00BE259F"/>
    <w:rsid w:val="00C0267C"/>
    <w:rsid w:val="00C03E22"/>
    <w:rsid w:val="00C33ED6"/>
    <w:rsid w:val="00C36267"/>
    <w:rsid w:val="00C4321C"/>
    <w:rsid w:val="00C44134"/>
    <w:rsid w:val="00C44F5A"/>
    <w:rsid w:val="00C45107"/>
    <w:rsid w:val="00C46CB4"/>
    <w:rsid w:val="00C8363A"/>
    <w:rsid w:val="00C8382A"/>
    <w:rsid w:val="00C91165"/>
    <w:rsid w:val="00C92345"/>
    <w:rsid w:val="00CA3472"/>
    <w:rsid w:val="00CC3622"/>
    <w:rsid w:val="00CC3D66"/>
    <w:rsid w:val="00CD190F"/>
    <w:rsid w:val="00CE07FA"/>
    <w:rsid w:val="00CE19CE"/>
    <w:rsid w:val="00D06BE6"/>
    <w:rsid w:val="00D131EB"/>
    <w:rsid w:val="00D13EBC"/>
    <w:rsid w:val="00D2397E"/>
    <w:rsid w:val="00D25B6F"/>
    <w:rsid w:val="00D32519"/>
    <w:rsid w:val="00D33216"/>
    <w:rsid w:val="00D44B89"/>
    <w:rsid w:val="00D55413"/>
    <w:rsid w:val="00D7635D"/>
    <w:rsid w:val="00D86A6A"/>
    <w:rsid w:val="00D9558D"/>
    <w:rsid w:val="00DA1A0D"/>
    <w:rsid w:val="00DC40E7"/>
    <w:rsid w:val="00DC530F"/>
    <w:rsid w:val="00DC754E"/>
    <w:rsid w:val="00DD1576"/>
    <w:rsid w:val="00DD4451"/>
    <w:rsid w:val="00DE3354"/>
    <w:rsid w:val="00DF1028"/>
    <w:rsid w:val="00E16AA0"/>
    <w:rsid w:val="00E22478"/>
    <w:rsid w:val="00E22E3E"/>
    <w:rsid w:val="00E26898"/>
    <w:rsid w:val="00E309E6"/>
    <w:rsid w:val="00E30A88"/>
    <w:rsid w:val="00E94C08"/>
    <w:rsid w:val="00E952BD"/>
    <w:rsid w:val="00E97DDA"/>
    <w:rsid w:val="00EA0E33"/>
    <w:rsid w:val="00EC7B51"/>
    <w:rsid w:val="00ED51F8"/>
    <w:rsid w:val="00EF3864"/>
    <w:rsid w:val="00EF7596"/>
    <w:rsid w:val="00F03C6C"/>
    <w:rsid w:val="00F12458"/>
    <w:rsid w:val="00F14B95"/>
    <w:rsid w:val="00F154FD"/>
    <w:rsid w:val="00F2123B"/>
    <w:rsid w:val="00F22ED1"/>
    <w:rsid w:val="00F259A8"/>
    <w:rsid w:val="00F31A90"/>
    <w:rsid w:val="00F337AB"/>
    <w:rsid w:val="00F34710"/>
    <w:rsid w:val="00F36724"/>
    <w:rsid w:val="00F41C5D"/>
    <w:rsid w:val="00F41F10"/>
    <w:rsid w:val="00F54766"/>
    <w:rsid w:val="00F54BA3"/>
    <w:rsid w:val="00F56A33"/>
    <w:rsid w:val="00F7647F"/>
    <w:rsid w:val="00F83E68"/>
    <w:rsid w:val="00FA5DD5"/>
    <w:rsid w:val="00FA6C83"/>
    <w:rsid w:val="00FB006D"/>
    <w:rsid w:val="00FB52A1"/>
    <w:rsid w:val="00FD2A42"/>
    <w:rsid w:val="00FD61C0"/>
    <w:rsid w:val="00FE57A8"/>
    <w:rsid w:val="00FE70EE"/>
    <w:rsid w:val="00FF4A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F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1F8D"/>
  </w:style>
  <w:style w:type="paragraph" w:styleId="Footer">
    <w:name w:val="footer"/>
    <w:basedOn w:val="Normal"/>
    <w:link w:val="FooterChar"/>
    <w:uiPriority w:val="99"/>
    <w:unhideWhenUsed/>
    <w:rsid w:val="003F1F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1F8D"/>
  </w:style>
  <w:style w:type="paragraph" w:styleId="ListParagraph">
    <w:name w:val="List Paragraph"/>
    <w:basedOn w:val="Normal"/>
    <w:uiPriority w:val="34"/>
    <w:qFormat/>
    <w:rsid w:val="00471830"/>
    <w:pPr>
      <w:ind w:left="720"/>
      <w:contextualSpacing/>
    </w:pPr>
  </w:style>
  <w:style w:type="paragraph" w:styleId="NormalWeb">
    <w:name w:val="Normal (Web)"/>
    <w:basedOn w:val="Normal"/>
    <w:uiPriority w:val="99"/>
    <w:semiHidden/>
    <w:unhideWhenUsed/>
    <w:rsid w:val="0015583D"/>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794D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53084"/>
    <w:rPr>
      <w:b/>
      <w:bCs/>
    </w:rPr>
  </w:style>
  <w:style w:type="paragraph" w:styleId="BalloonText">
    <w:name w:val="Balloon Text"/>
    <w:basedOn w:val="Normal"/>
    <w:link w:val="BalloonTextChar"/>
    <w:uiPriority w:val="99"/>
    <w:semiHidden/>
    <w:unhideWhenUsed/>
    <w:rsid w:val="00393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BE"/>
    <w:rPr>
      <w:rFonts w:ascii="Segoe UI" w:hAnsi="Segoe UI" w:cs="Segoe UI"/>
      <w:sz w:val="18"/>
      <w:szCs w:val="18"/>
    </w:rPr>
  </w:style>
  <w:style w:type="table" w:customStyle="1" w:styleId="GridTableLight">
    <w:name w:val="Grid Table Light"/>
    <w:basedOn w:val="TableNormal"/>
    <w:uiPriority w:val="40"/>
    <w:rsid w:val="009F3D0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9F3D0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76E8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076E8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F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1F8D"/>
  </w:style>
  <w:style w:type="paragraph" w:styleId="Footer">
    <w:name w:val="footer"/>
    <w:basedOn w:val="Normal"/>
    <w:link w:val="FooterChar"/>
    <w:uiPriority w:val="99"/>
    <w:unhideWhenUsed/>
    <w:rsid w:val="003F1F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1F8D"/>
  </w:style>
  <w:style w:type="paragraph" w:styleId="ListParagraph">
    <w:name w:val="List Paragraph"/>
    <w:basedOn w:val="Normal"/>
    <w:uiPriority w:val="34"/>
    <w:qFormat/>
    <w:rsid w:val="00471830"/>
    <w:pPr>
      <w:ind w:left="720"/>
      <w:contextualSpacing/>
    </w:pPr>
  </w:style>
  <w:style w:type="paragraph" w:styleId="NormalWeb">
    <w:name w:val="Normal (Web)"/>
    <w:basedOn w:val="Normal"/>
    <w:uiPriority w:val="99"/>
    <w:semiHidden/>
    <w:unhideWhenUsed/>
    <w:rsid w:val="0015583D"/>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794D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53084"/>
    <w:rPr>
      <w:b/>
      <w:bCs/>
    </w:rPr>
  </w:style>
  <w:style w:type="paragraph" w:styleId="BalloonText">
    <w:name w:val="Balloon Text"/>
    <w:basedOn w:val="Normal"/>
    <w:link w:val="BalloonTextChar"/>
    <w:uiPriority w:val="99"/>
    <w:semiHidden/>
    <w:unhideWhenUsed/>
    <w:rsid w:val="00393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BE"/>
    <w:rPr>
      <w:rFonts w:ascii="Segoe UI" w:hAnsi="Segoe UI" w:cs="Segoe UI"/>
      <w:sz w:val="18"/>
      <w:szCs w:val="18"/>
    </w:rPr>
  </w:style>
  <w:style w:type="table" w:customStyle="1" w:styleId="GridTableLight">
    <w:name w:val="Grid Table Light"/>
    <w:basedOn w:val="TableNormal"/>
    <w:uiPriority w:val="40"/>
    <w:rsid w:val="009F3D0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9F3D0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76E8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076E8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8095">
      <w:bodyDiv w:val="1"/>
      <w:marLeft w:val="0"/>
      <w:marRight w:val="0"/>
      <w:marTop w:val="0"/>
      <w:marBottom w:val="0"/>
      <w:divBdr>
        <w:top w:val="none" w:sz="0" w:space="0" w:color="auto"/>
        <w:left w:val="none" w:sz="0" w:space="0" w:color="auto"/>
        <w:bottom w:val="none" w:sz="0" w:space="0" w:color="auto"/>
        <w:right w:val="none" w:sz="0" w:space="0" w:color="auto"/>
      </w:divBdr>
      <w:divsChild>
        <w:div w:id="2049068127">
          <w:marLeft w:val="0"/>
          <w:marRight w:val="0"/>
          <w:marTop w:val="0"/>
          <w:marBottom w:val="0"/>
          <w:divBdr>
            <w:top w:val="none" w:sz="0" w:space="0" w:color="auto"/>
            <w:left w:val="none" w:sz="0" w:space="0" w:color="auto"/>
            <w:bottom w:val="none" w:sz="0" w:space="0" w:color="auto"/>
            <w:right w:val="none" w:sz="0" w:space="0" w:color="auto"/>
          </w:divBdr>
          <w:divsChild>
            <w:div w:id="741876942">
              <w:marLeft w:val="0"/>
              <w:marRight w:val="0"/>
              <w:marTop w:val="0"/>
              <w:marBottom w:val="0"/>
              <w:divBdr>
                <w:top w:val="none" w:sz="0" w:space="0" w:color="auto"/>
                <w:left w:val="none" w:sz="0" w:space="0" w:color="auto"/>
                <w:bottom w:val="none" w:sz="0" w:space="0" w:color="auto"/>
                <w:right w:val="none" w:sz="0" w:space="0" w:color="auto"/>
              </w:divBdr>
              <w:divsChild>
                <w:div w:id="263730538">
                  <w:marLeft w:val="0"/>
                  <w:marRight w:val="0"/>
                  <w:marTop w:val="0"/>
                  <w:marBottom w:val="0"/>
                  <w:divBdr>
                    <w:top w:val="none" w:sz="0" w:space="0" w:color="auto"/>
                    <w:left w:val="none" w:sz="0" w:space="0" w:color="auto"/>
                    <w:bottom w:val="none" w:sz="0" w:space="0" w:color="auto"/>
                    <w:right w:val="none" w:sz="0" w:space="0" w:color="auto"/>
                  </w:divBdr>
                  <w:divsChild>
                    <w:div w:id="1141768469">
                      <w:marLeft w:val="0"/>
                      <w:marRight w:val="300"/>
                      <w:marTop w:val="0"/>
                      <w:marBottom w:val="0"/>
                      <w:divBdr>
                        <w:top w:val="none" w:sz="0" w:space="0" w:color="auto"/>
                        <w:left w:val="none" w:sz="0" w:space="0" w:color="auto"/>
                        <w:bottom w:val="none" w:sz="0" w:space="0" w:color="auto"/>
                        <w:right w:val="none" w:sz="0" w:space="0" w:color="auto"/>
                      </w:divBdr>
                      <w:divsChild>
                        <w:div w:id="201159307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2142">
      <w:bodyDiv w:val="1"/>
      <w:marLeft w:val="0"/>
      <w:marRight w:val="0"/>
      <w:marTop w:val="0"/>
      <w:marBottom w:val="0"/>
      <w:divBdr>
        <w:top w:val="none" w:sz="0" w:space="0" w:color="auto"/>
        <w:left w:val="none" w:sz="0" w:space="0" w:color="auto"/>
        <w:bottom w:val="none" w:sz="0" w:space="0" w:color="auto"/>
        <w:right w:val="none" w:sz="0" w:space="0" w:color="auto"/>
      </w:divBdr>
    </w:div>
    <w:div w:id="908613056">
      <w:bodyDiv w:val="1"/>
      <w:marLeft w:val="0"/>
      <w:marRight w:val="0"/>
      <w:marTop w:val="0"/>
      <w:marBottom w:val="0"/>
      <w:divBdr>
        <w:top w:val="none" w:sz="0" w:space="0" w:color="auto"/>
        <w:left w:val="none" w:sz="0" w:space="0" w:color="auto"/>
        <w:bottom w:val="none" w:sz="0" w:space="0" w:color="auto"/>
        <w:right w:val="none" w:sz="0" w:space="0" w:color="auto"/>
      </w:divBdr>
    </w:div>
    <w:div w:id="10918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E560-0FC6-40AE-ACB4-0B232007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11831</Words>
  <Characters>67442</Characters>
  <Application>Microsoft Office Word</Application>
  <DocSecurity>4</DocSecurity>
  <Lines>562</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79115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Basta Miletić</dc:creator>
  <cp:lastModifiedBy>Vice Puhalović</cp:lastModifiedBy>
  <cp:revision>2</cp:revision>
  <cp:lastPrinted>2019-02-14T11:06:00Z</cp:lastPrinted>
  <dcterms:created xsi:type="dcterms:W3CDTF">2019-02-18T14:24:00Z</dcterms:created>
  <dcterms:modified xsi:type="dcterms:W3CDTF">2019-02-18T14:24:00Z</dcterms:modified>
</cp:coreProperties>
</file>